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657DC" w14:textId="77777777" w:rsidR="00991ABC" w:rsidRPr="00991ABC" w:rsidRDefault="00991ABC" w:rsidP="00991ABC">
      <w:pPr>
        <w:spacing w:before="100" w:beforeAutospacing="1" w:after="100" w:afterAutospacing="1" w:line="360" w:lineRule="auto"/>
        <w:jc w:val="both"/>
        <w:rPr>
          <w:rFonts w:ascii="Arial" w:hAnsi="Arial" w:cs="Arial"/>
          <w:b/>
          <w:bCs/>
          <w:sz w:val="24"/>
          <w:szCs w:val="24"/>
        </w:rPr>
      </w:pPr>
      <w:r w:rsidRPr="00991ABC">
        <w:rPr>
          <w:rFonts w:ascii="Arial" w:hAnsi="Arial" w:cs="Arial"/>
          <w:b/>
          <w:bCs/>
          <w:sz w:val="24"/>
          <w:szCs w:val="24"/>
        </w:rPr>
        <w:t>AL TITULAR DEL ÓRGANO DIRECTIVO DE LA JEFATURA DE RECAUDACIÓN DEL AYUNTAMIENTO DE SANTA CRUZ DE TENERIFE (Art. 90. ORDENANZA FISCAL GENERAL DE GESTIÓN, INSPECCIÓN Y RECAUDACIÓN)</w:t>
      </w:r>
    </w:p>
    <w:p w14:paraId="6A6548DE" w14:textId="77777777" w:rsidR="00991ABC" w:rsidRPr="00991ABC" w:rsidRDefault="00991ABC" w:rsidP="00991ABC">
      <w:pPr>
        <w:spacing w:before="100" w:beforeAutospacing="1" w:after="100" w:afterAutospacing="1" w:line="360" w:lineRule="auto"/>
        <w:jc w:val="both"/>
        <w:rPr>
          <w:rFonts w:ascii="Arial" w:hAnsi="Arial" w:cs="Arial"/>
          <w:b/>
          <w:bCs/>
          <w:sz w:val="24"/>
          <w:szCs w:val="24"/>
        </w:rPr>
      </w:pPr>
    </w:p>
    <w:p w14:paraId="440FA249" w14:textId="5F9EA0C2" w:rsidR="00991ABC" w:rsidRDefault="00991ABC" w:rsidP="00991ABC">
      <w:pPr>
        <w:spacing w:before="100" w:beforeAutospacing="1" w:after="100" w:afterAutospacing="1" w:line="360" w:lineRule="auto"/>
        <w:jc w:val="both"/>
        <w:rPr>
          <w:rFonts w:ascii="Arial" w:hAnsi="Arial" w:cs="Arial"/>
          <w:b/>
          <w:bCs/>
          <w:sz w:val="24"/>
          <w:szCs w:val="24"/>
        </w:rPr>
      </w:pPr>
      <w:r w:rsidRPr="00991ABC">
        <w:rPr>
          <w:rFonts w:ascii="Arial" w:hAnsi="Arial" w:cs="Arial"/>
          <w:b/>
          <w:bCs/>
          <w:sz w:val="24"/>
          <w:szCs w:val="24"/>
        </w:rPr>
        <w:t>RECURSO DE REPOSICIÓN CONTRA RECIBO DE LA TASA POR PRESTACIÓN DEL SERVICIO DE GESTIÓN DE RESID</w:t>
      </w:r>
      <w:r w:rsidR="00155739">
        <w:rPr>
          <w:rFonts w:ascii="Arial" w:hAnsi="Arial" w:cs="Arial"/>
          <w:b/>
          <w:bCs/>
          <w:sz w:val="24"/>
          <w:szCs w:val="24"/>
        </w:rPr>
        <w:t>U</w:t>
      </w:r>
      <w:r w:rsidRPr="00991ABC">
        <w:rPr>
          <w:rFonts w:ascii="Arial" w:hAnsi="Arial" w:cs="Arial"/>
          <w:b/>
          <w:bCs/>
          <w:sz w:val="24"/>
          <w:szCs w:val="24"/>
        </w:rPr>
        <w:t>OS DE COMPETENCIA</w:t>
      </w:r>
    </w:p>
    <w:p w14:paraId="30E8EEE0" w14:textId="5F7FC75A" w:rsidR="00583F4A" w:rsidRDefault="00583F4A" w:rsidP="00991ABC">
      <w:pPr>
        <w:spacing w:before="100" w:beforeAutospacing="1" w:after="100" w:afterAutospacing="1" w:line="360" w:lineRule="auto"/>
        <w:jc w:val="both"/>
        <w:rPr>
          <w:rFonts w:ascii="Arial" w:hAnsi="Arial" w:cs="Arial"/>
          <w:sz w:val="24"/>
          <w:szCs w:val="24"/>
        </w:rPr>
      </w:pPr>
      <w:r>
        <w:rPr>
          <w:rFonts w:ascii="Arial" w:hAnsi="Arial" w:cs="Arial"/>
          <w:sz w:val="24"/>
          <w:szCs w:val="24"/>
        </w:rPr>
        <w:t>D./Dª. ……………………………………………………………………………………, con DNI. ………………………………, mayor de edad y con domicilio a efectos de notificación en (dirección o correo electrónico) ………………………………………………………</w:t>
      </w:r>
      <w:proofErr w:type="gramStart"/>
      <w:r>
        <w:rPr>
          <w:rFonts w:ascii="Arial" w:hAnsi="Arial" w:cs="Arial"/>
          <w:sz w:val="24"/>
          <w:szCs w:val="24"/>
        </w:rPr>
        <w:t>…….</w:t>
      </w:r>
      <w:proofErr w:type="gramEnd"/>
      <w:r>
        <w:rPr>
          <w:rFonts w:ascii="Arial" w:hAnsi="Arial" w:cs="Arial"/>
          <w:sz w:val="24"/>
          <w:szCs w:val="24"/>
        </w:rPr>
        <w:t>, comparece y expone:</w:t>
      </w:r>
    </w:p>
    <w:p w14:paraId="3B7A617C" w14:textId="333BE3CE" w:rsidR="001C7AA1" w:rsidRDefault="001C7AA1" w:rsidP="00583F4A">
      <w:pPr>
        <w:spacing w:before="100" w:beforeAutospacing="1" w:after="100" w:afterAutospacing="1" w:line="360" w:lineRule="auto"/>
        <w:jc w:val="both"/>
        <w:rPr>
          <w:rFonts w:ascii="Arial" w:hAnsi="Arial" w:cs="Arial"/>
          <w:sz w:val="24"/>
          <w:szCs w:val="24"/>
        </w:rPr>
      </w:pPr>
      <w:r w:rsidRPr="00991ABC">
        <w:rPr>
          <w:rFonts w:ascii="Arial" w:hAnsi="Arial" w:cs="Arial"/>
          <w:b/>
          <w:bCs/>
          <w:sz w:val="24"/>
          <w:szCs w:val="24"/>
        </w:rPr>
        <w:t>I.-</w:t>
      </w:r>
      <w:r>
        <w:rPr>
          <w:rFonts w:ascii="Arial" w:hAnsi="Arial" w:cs="Arial"/>
          <w:sz w:val="24"/>
          <w:szCs w:val="24"/>
        </w:rPr>
        <w:t xml:space="preserve"> Que el pasado día …. de </w:t>
      </w:r>
      <w:r w:rsidR="00991ABC">
        <w:rPr>
          <w:rFonts w:ascii="Arial" w:hAnsi="Arial" w:cs="Arial"/>
          <w:sz w:val="24"/>
          <w:szCs w:val="24"/>
        </w:rPr>
        <w:t>………… DE 2026</w:t>
      </w:r>
      <w:r>
        <w:rPr>
          <w:rFonts w:ascii="Arial" w:hAnsi="Arial" w:cs="Arial"/>
          <w:sz w:val="24"/>
          <w:szCs w:val="24"/>
        </w:rPr>
        <w:t xml:space="preserve"> nos ha sido notificada la liquidación de la </w:t>
      </w:r>
      <w:r w:rsidRPr="001C7AA1">
        <w:rPr>
          <w:rFonts w:ascii="Arial" w:hAnsi="Arial" w:cs="Arial"/>
          <w:sz w:val="24"/>
          <w:szCs w:val="24"/>
        </w:rPr>
        <w:t>TASA DE GESTIÓN DE RESIDUOS C. MUNICIPAL (RESIDENCIAL</w:t>
      </w:r>
      <w:r>
        <w:rPr>
          <w:rFonts w:ascii="Arial" w:hAnsi="Arial" w:cs="Arial"/>
          <w:sz w:val="24"/>
          <w:szCs w:val="24"/>
        </w:rPr>
        <w:t xml:space="preserve"> o NO RESIDENCIAL</w:t>
      </w:r>
      <w:r w:rsidRPr="001C7AA1">
        <w:rPr>
          <w:rFonts w:ascii="Arial" w:hAnsi="Arial" w:cs="Arial"/>
          <w:sz w:val="24"/>
          <w:szCs w:val="24"/>
        </w:rPr>
        <w:t>),</w:t>
      </w:r>
      <w:r>
        <w:rPr>
          <w:rFonts w:ascii="Arial" w:hAnsi="Arial" w:cs="Arial"/>
          <w:sz w:val="24"/>
          <w:szCs w:val="24"/>
        </w:rPr>
        <w:t xml:space="preserve"> cuyos datos de identificación son:</w:t>
      </w:r>
    </w:p>
    <w:p w14:paraId="7F1BA2E0" w14:textId="53C723B0" w:rsidR="001C7AA1" w:rsidRDefault="001C7AA1" w:rsidP="00583F4A">
      <w:pPr>
        <w:spacing w:before="100" w:beforeAutospacing="1" w:after="100" w:afterAutospacing="1" w:line="360" w:lineRule="auto"/>
        <w:jc w:val="both"/>
        <w:rPr>
          <w:rFonts w:ascii="Arial" w:hAnsi="Arial" w:cs="Arial"/>
          <w:sz w:val="24"/>
          <w:szCs w:val="24"/>
        </w:rPr>
      </w:pPr>
      <w:r>
        <w:rPr>
          <w:rFonts w:ascii="Arial" w:hAnsi="Arial" w:cs="Arial"/>
          <w:sz w:val="24"/>
          <w:szCs w:val="24"/>
        </w:rPr>
        <w:tab/>
        <w:t>- Número de referencia: ………………………………………………….</w:t>
      </w:r>
    </w:p>
    <w:p w14:paraId="4F0FDDBB" w14:textId="28D865D8" w:rsidR="001C7AA1" w:rsidRDefault="001C7AA1" w:rsidP="00583F4A">
      <w:pPr>
        <w:spacing w:before="100" w:beforeAutospacing="1" w:after="100" w:afterAutospacing="1" w:line="360" w:lineRule="auto"/>
        <w:jc w:val="both"/>
        <w:rPr>
          <w:rFonts w:ascii="Arial" w:hAnsi="Arial" w:cs="Arial"/>
          <w:sz w:val="24"/>
          <w:szCs w:val="24"/>
        </w:rPr>
      </w:pPr>
      <w:r>
        <w:rPr>
          <w:rFonts w:ascii="Arial" w:hAnsi="Arial" w:cs="Arial"/>
          <w:sz w:val="24"/>
          <w:szCs w:val="24"/>
        </w:rPr>
        <w:tab/>
        <w:t>- Número de identificación: ………………………………………………</w:t>
      </w:r>
    </w:p>
    <w:p w14:paraId="1B7C9D54" w14:textId="37609CC0" w:rsidR="001C7AA1" w:rsidRDefault="001C7AA1" w:rsidP="00583F4A">
      <w:pPr>
        <w:spacing w:before="100" w:beforeAutospacing="1" w:after="100" w:afterAutospacing="1" w:line="360" w:lineRule="auto"/>
        <w:jc w:val="both"/>
        <w:rPr>
          <w:rFonts w:ascii="Arial" w:hAnsi="Arial" w:cs="Arial"/>
          <w:sz w:val="24"/>
          <w:szCs w:val="24"/>
        </w:rPr>
      </w:pPr>
      <w:r>
        <w:rPr>
          <w:rFonts w:ascii="Arial" w:hAnsi="Arial" w:cs="Arial"/>
          <w:sz w:val="24"/>
          <w:szCs w:val="24"/>
        </w:rPr>
        <w:tab/>
        <w:t>- Sujeto pasivo: ……………………………………………………………</w:t>
      </w:r>
    </w:p>
    <w:p w14:paraId="5E1806D9" w14:textId="70A44118" w:rsidR="001C7AA1" w:rsidRDefault="001C7AA1" w:rsidP="001C7AA1">
      <w:pPr>
        <w:spacing w:before="100" w:beforeAutospacing="1" w:after="100" w:afterAutospacing="1" w:line="360" w:lineRule="auto"/>
        <w:ind w:firstLine="708"/>
        <w:jc w:val="both"/>
        <w:rPr>
          <w:rFonts w:ascii="Arial" w:hAnsi="Arial" w:cs="Arial"/>
          <w:sz w:val="24"/>
          <w:szCs w:val="24"/>
        </w:rPr>
      </w:pPr>
      <w:r>
        <w:rPr>
          <w:rFonts w:ascii="Arial" w:hAnsi="Arial" w:cs="Arial"/>
          <w:sz w:val="24"/>
          <w:szCs w:val="24"/>
        </w:rPr>
        <w:t>- Importe: ……………………………………………………………………</w:t>
      </w:r>
    </w:p>
    <w:p w14:paraId="17F2908F" w14:textId="752B5D7A" w:rsidR="001C7AA1" w:rsidRDefault="001C7AA1" w:rsidP="001C7AA1">
      <w:pPr>
        <w:spacing w:before="100" w:beforeAutospacing="1" w:after="100" w:afterAutospacing="1" w:line="360" w:lineRule="auto"/>
        <w:jc w:val="both"/>
        <w:rPr>
          <w:rFonts w:ascii="Arial" w:hAnsi="Arial" w:cs="Arial"/>
          <w:sz w:val="24"/>
          <w:szCs w:val="24"/>
        </w:rPr>
      </w:pPr>
      <w:r w:rsidRPr="00991ABC">
        <w:rPr>
          <w:rFonts w:ascii="Arial" w:hAnsi="Arial" w:cs="Arial"/>
          <w:b/>
          <w:bCs/>
          <w:sz w:val="24"/>
          <w:szCs w:val="24"/>
        </w:rPr>
        <w:t>II.-</w:t>
      </w:r>
      <w:r>
        <w:rPr>
          <w:rFonts w:ascii="Arial" w:hAnsi="Arial" w:cs="Arial"/>
          <w:sz w:val="24"/>
          <w:szCs w:val="24"/>
        </w:rPr>
        <w:t xml:space="preserve"> Se adjunta</w:t>
      </w:r>
      <w:r w:rsidR="00E626BC">
        <w:rPr>
          <w:rFonts w:ascii="Arial" w:hAnsi="Arial" w:cs="Arial"/>
          <w:sz w:val="24"/>
          <w:szCs w:val="24"/>
        </w:rPr>
        <w:t xml:space="preserve">n copia de la liquidación de la tasa y </w:t>
      </w:r>
      <w:r>
        <w:rPr>
          <w:rFonts w:ascii="Arial" w:hAnsi="Arial" w:cs="Arial"/>
          <w:sz w:val="24"/>
          <w:szCs w:val="24"/>
        </w:rPr>
        <w:t>copia del documento de identificación</w:t>
      </w:r>
      <w:r w:rsidR="003C5E57">
        <w:rPr>
          <w:rFonts w:ascii="Arial" w:hAnsi="Arial" w:cs="Arial"/>
          <w:sz w:val="24"/>
          <w:szCs w:val="24"/>
        </w:rPr>
        <w:t xml:space="preserve"> DNI</w:t>
      </w:r>
      <w:r>
        <w:rPr>
          <w:rFonts w:ascii="Arial" w:hAnsi="Arial" w:cs="Arial"/>
          <w:sz w:val="24"/>
          <w:szCs w:val="24"/>
        </w:rPr>
        <w:t xml:space="preserve"> y</w:t>
      </w:r>
      <w:r w:rsidR="00F0738A">
        <w:rPr>
          <w:rFonts w:ascii="Arial" w:hAnsi="Arial" w:cs="Arial"/>
          <w:sz w:val="24"/>
          <w:szCs w:val="24"/>
        </w:rPr>
        <w:t>,</w:t>
      </w:r>
      <w:r w:rsidR="003C5E57">
        <w:rPr>
          <w:rFonts w:ascii="Arial" w:hAnsi="Arial" w:cs="Arial"/>
          <w:sz w:val="24"/>
          <w:szCs w:val="24"/>
        </w:rPr>
        <w:t xml:space="preserve"> en su caso, el de</w:t>
      </w:r>
      <w:r>
        <w:rPr>
          <w:rFonts w:ascii="Arial" w:hAnsi="Arial" w:cs="Arial"/>
          <w:sz w:val="24"/>
          <w:szCs w:val="24"/>
        </w:rPr>
        <w:t xml:space="preserve"> representación.</w:t>
      </w:r>
    </w:p>
    <w:p w14:paraId="1C20635C" w14:textId="3170FD7F" w:rsidR="001C7AA1" w:rsidRDefault="001C7AA1" w:rsidP="001C7AA1">
      <w:pPr>
        <w:spacing w:before="100" w:beforeAutospacing="1" w:after="100" w:afterAutospacing="1" w:line="360" w:lineRule="auto"/>
        <w:jc w:val="both"/>
        <w:rPr>
          <w:rFonts w:ascii="Arial" w:hAnsi="Arial" w:cs="Arial"/>
          <w:sz w:val="24"/>
          <w:szCs w:val="24"/>
        </w:rPr>
      </w:pPr>
      <w:r w:rsidRPr="00E626BC">
        <w:rPr>
          <w:rFonts w:ascii="Arial" w:hAnsi="Arial" w:cs="Arial"/>
          <w:b/>
          <w:bCs/>
          <w:sz w:val="24"/>
          <w:szCs w:val="24"/>
        </w:rPr>
        <w:t>III.-</w:t>
      </w:r>
      <w:r w:rsidRPr="00E626BC">
        <w:rPr>
          <w:rFonts w:ascii="Arial" w:hAnsi="Arial" w:cs="Arial"/>
          <w:sz w:val="24"/>
          <w:szCs w:val="24"/>
        </w:rPr>
        <w:t xml:space="preserve"> Que</w:t>
      </w:r>
      <w:r w:rsidR="00E626BC" w:rsidRPr="00E626BC">
        <w:rPr>
          <w:rFonts w:ascii="Arial" w:hAnsi="Arial" w:cs="Arial"/>
          <w:sz w:val="24"/>
          <w:szCs w:val="24"/>
        </w:rPr>
        <w:t xml:space="preserve"> se tenga por presentado </w:t>
      </w:r>
      <w:r w:rsidRPr="00E626BC">
        <w:rPr>
          <w:rFonts w:ascii="Arial" w:hAnsi="Arial" w:cs="Arial"/>
          <w:sz w:val="24"/>
          <w:szCs w:val="24"/>
        </w:rPr>
        <w:t xml:space="preserve">el presente </w:t>
      </w:r>
      <w:r w:rsidR="00991ABC" w:rsidRPr="00E626BC">
        <w:rPr>
          <w:rFonts w:ascii="Arial" w:hAnsi="Arial" w:cs="Arial"/>
          <w:b/>
          <w:bCs/>
          <w:sz w:val="24"/>
          <w:szCs w:val="24"/>
        </w:rPr>
        <w:t>RECURSO DE REP</w:t>
      </w:r>
      <w:r w:rsidR="00860D48" w:rsidRPr="00E626BC">
        <w:rPr>
          <w:rFonts w:ascii="Arial" w:hAnsi="Arial" w:cs="Arial"/>
          <w:b/>
          <w:bCs/>
          <w:sz w:val="24"/>
          <w:szCs w:val="24"/>
        </w:rPr>
        <w:t>OSI</w:t>
      </w:r>
      <w:r w:rsidR="00991ABC" w:rsidRPr="00E626BC">
        <w:rPr>
          <w:rFonts w:ascii="Arial" w:hAnsi="Arial" w:cs="Arial"/>
          <w:b/>
          <w:bCs/>
          <w:sz w:val="24"/>
          <w:szCs w:val="24"/>
        </w:rPr>
        <w:t>CIÓN</w:t>
      </w:r>
      <w:r w:rsidRPr="00E626BC">
        <w:rPr>
          <w:rFonts w:ascii="Arial" w:hAnsi="Arial" w:cs="Arial"/>
          <w:sz w:val="24"/>
          <w:szCs w:val="24"/>
        </w:rPr>
        <w:t xml:space="preserve">, </w:t>
      </w:r>
      <w:r w:rsidR="00991ABC" w:rsidRPr="00E626BC">
        <w:rPr>
          <w:rFonts w:ascii="Arial" w:hAnsi="Arial" w:cs="Arial"/>
          <w:sz w:val="24"/>
          <w:szCs w:val="24"/>
        </w:rPr>
        <w:t xml:space="preserve">de conformidad con lo establecido en los artículos 112 y siguientes, CAPÍTULO II relativo a los Recursos administrativos, de la Ley 39/2015, de 1 de octubre, del Procedimiento Administrativo Común de las Administraciones Públicas, </w:t>
      </w:r>
      <w:r w:rsidR="00E626BC" w:rsidRPr="00E626BC">
        <w:rPr>
          <w:rFonts w:ascii="Arial" w:hAnsi="Arial" w:cs="Arial"/>
          <w:sz w:val="24"/>
          <w:szCs w:val="24"/>
        </w:rPr>
        <w:t>contra dicha liquidación y co</w:t>
      </w:r>
      <w:r w:rsidR="00991ABC" w:rsidRPr="00E626BC">
        <w:rPr>
          <w:rFonts w:ascii="Arial" w:hAnsi="Arial" w:cs="Arial"/>
          <w:sz w:val="24"/>
          <w:szCs w:val="24"/>
        </w:rPr>
        <w:t xml:space="preserve">ntra </w:t>
      </w:r>
      <w:r w:rsidR="00E626BC" w:rsidRPr="00E626BC">
        <w:rPr>
          <w:rFonts w:ascii="Arial" w:hAnsi="Arial" w:cs="Arial"/>
          <w:sz w:val="24"/>
          <w:szCs w:val="24"/>
        </w:rPr>
        <w:t>la resolución</w:t>
      </w:r>
      <w:r w:rsidR="00991ABC" w:rsidRPr="00E626BC">
        <w:rPr>
          <w:rFonts w:ascii="Arial" w:hAnsi="Arial" w:cs="Arial"/>
          <w:sz w:val="24"/>
          <w:szCs w:val="24"/>
        </w:rPr>
        <w:t xml:space="preserve"> por la que se aprueba la liquidación provisional de la TASA DE GESTIÓN DE RESIDUOS C. MUNICIPAL, </w:t>
      </w:r>
      <w:r w:rsidR="00E626BC" w:rsidRPr="00E626BC">
        <w:rPr>
          <w:rFonts w:ascii="Arial" w:hAnsi="Arial" w:cs="Arial"/>
          <w:sz w:val="24"/>
          <w:szCs w:val="24"/>
        </w:rPr>
        <w:t>incluyéndose en él</w:t>
      </w:r>
      <w:r w:rsidR="00991ABC" w:rsidRPr="00E626BC">
        <w:rPr>
          <w:rFonts w:ascii="Arial" w:hAnsi="Arial" w:cs="Arial"/>
          <w:sz w:val="24"/>
          <w:szCs w:val="24"/>
        </w:rPr>
        <w:t xml:space="preserve"> las alegaciones que sustentan mi pretensión.</w:t>
      </w:r>
    </w:p>
    <w:p w14:paraId="632E1AAB" w14:textId="1FDA74C1" w:rsidR="00405D4C" w:rsidRDefault="00405D4C" w:rsidP="001C7AA1">
      <w:pPr>
        <w:spacing w:before="100" w:beforeAutospacing="1" w:after="100" w:afterAutospacing="1" w:line="360" w:lineRule="auto"/>
        <w:jc w:val="both"/>
        <w:rPr>
          <w:rFonts w:ascii="Arial" w:hAnsi="Arial" w:cs="Arial"/>
          <w:sz w:val="24"/>
          <w:szCs w:val="24"/>
        </w:rPr>
      </w:pPr>
      <w:r w:rsidRPr="00991ABC">
        <w:rPr>
          <w:rFonts w:ascii="Arial" w:hAnsi="Arial" w:cs="Arial"/>
          <w:b/>
          <w:bCs/>
          <w:sz w:val="24"/>
          <w:szCs w:val="24"/>
        </w:rPr>
        <w:lastRenderedPageBreak/>
        <w:t>IV.-</w:t>
      </w:r>
      <w:r>
        <w:rPr>
          <w:rFonts w:ascii="Arial" w:hAnsi="Arial" w:cs="Arial"/>
          <w:sz w:val="24"/>
          <w:szCs w:val="24"/>
        </w:rPr>
        <w:t xml:space="preserve"> Así mismo, por la presente se manifiesta que</w:t>
      </w:r>
      <w:r w:rsidR="00991ABC">
        <w:rPr>
          <w:rFonts w:ascii="Arial" w:hAnsi="Arial" w:cs="Arial"/>
          <w:sz w:val="24"/>
          <w:szCs w:val="24"/>
        </w:rPr>
        <w:t>,</w:t>
      </w:r>
      <w:r>
        <w:rPr>
          <w:rFonts w:ascii="Arial" w:hAnsi="Arial" w:cs="Arial"/>
          <w:sz w:val="24"/>
          <w:szCs w:val="24"/>
        </w:rPr>
        <w:t xml:space="preserve"> </w:t>
      </w:r>
      <w:r w:rsidR="00991ABC">
        <w:rPr>
          <w:rFonts w:ascii="Arial" w:hAnsi="Arial" w:cs="Arial"/>
          <w:sz w:val="24"/>
          <w:szCs w:val="24"/>
        </w:rPr>
        <w:t xml:space="preserve">en caso de la desestimación, formal o presunta de este recurso, </w:t>
      </w:r>
      <w:r w:rsidR="00991ABC" w:rsidRPr="00991ABC">
        <w:rPr>
          <w:rFonts w:ascii="Arial" w:hAnsi="Arial" w:cs="Arial"/>
          <w:b/>
          <w:bCs/>
          <w:sz w:val="24"/>
          <w:szCs w:val="24"/>
        </w:rPr>
        <w:t xml:space="preserve">SE ELEVE LA CORRESPONDIENTE RECLAMACIÓN CONTRA LA LIQUIDACIÓN DE LA TASA POR PRESTACIÓN DEL SERVICIO DE GESTIÓN DE </w:t>
      </w:r>
      <w:r w:rsidR="00860D48">
        <w:rPr>
          <w:rFonts w:ascii="Arial" w:hAnsi="Arial" w:cs="Arial"/>
          <w:b/>
          <w:bCs/>
          <w:sz w:val="24"/>
          <w:szCs w:val="24"/>
        </w:rPr>
        <w:t>RESIDUOS</w:t>
      </w:r>
      <w:r w:rsidR="00991ABC" w:rsidRPr="00991ABC">
        <w:rPr>
          <w:rFonts w:ascii="Arial" w:hAnsi="Arial" w:cs="Arial"/>
          <w:b/>
          <w:bCs/>
          <w:sz w:val="24"/>
          <w:szCs w:val="24"/>
        </w:rPr>
        <w:t xml:space="preserve"> AL TRIBUNAL ECONÓMICO-ADMINISTRATIVO MUNICIPAL DE SANTA CRUZ DE TENERIFE</w:t>
      </w:r>
      <w:r>
        <w:rPr>
          <w:rFonts w:ascii="Arial" w:hAnsi="Arial" w:cs="Arial"/>
          <w:sz w:val="24"/>
          <w:szCs w:val="24"/>
        </w:rPr>
        <w:t>.</w:t>
      </w:r>
    </w:p>
    <w:p w14:paraId="38BC8E44" w14:textId="45C43214" w:rsidR="00726CBB" w:rsidRPr="00726CBB" w:rsidRDefault="00726CBB" w:rsidP="00726CBB">
      <w:pPr>
        <w:spacing w:before="100" w:beforeAutospacing="1" w:after="100" w:afterAutospacing="1" w:line="360" w:lineRule="auto"/>
        <w:jc w:val="center"/>
        <w:rPr>
          <w:rFonts w:ascii="Arial" w:hAnsi="Arial" w:cs="Arial"/>
          <w:b/>
          <w:bCs/>
          <w:sz w:val="24"/>
          <w:szCs w:val="24"/>
        </w:rPr>
      </w:pPr>
      <w:r w:rsidRPr="00726CBB">
        <w:rPr>
          <w:rFonts w:ascii="Arial" w:hAnsi="Arial" w:cs="Arial"/>
          <w:b/>
          <w:bCs/>
          <w:sz w:val="24"/>
          <w:szCs w:val="24"/>
        </w:rPr>
        <w:t>ALEGACIONES</w:t>
      </w:r>
    </w:p>
    <w:p w14:paraId="139778B0" w14:textId="7CA66DCB" w:rsidR="00405D4C" w:rsidRPr="00405D4C" w:rsidRDefault="00405D4C" w:rsidP="00405D4C">
      <w:pPr>
        <w:spacing w:before="100" w:beforeAutospacing="1" w:after="100" w:afterAutospacing="1" w:line="360" w:lineRule="auto"/>
        <w:jc w:val="both"/>
        <w:rPr>
          <w:rFonts w:ascii="Arial" w:hAnsi="Arial" w:cs="Arial"/>
          <w:sz w:val="24"/>
          <w:szCs w:val="24"/>
        </w:rPr>
      </w:pPr>
      <w:proofErr w:type="gramStart"/>
      <w:r>
        <w:rPr>
          <w:rFonts w:ascii="Arial" w:hAnsi="Arial" w:cs="Arial"/>
          <w:b/>
          <w:bCs/>
          <w:sz w:val="24"/>
          <w:szCs w:val="24"/>
        </w:rPr>
        <w:t>PRELIMINAR</w:t>
      </w:r>
      <w:r w:rsidR="00726CBB" w:rsidRPr="00726CBB">
        <w:rPr>
          <w:rFonts w:ascii="Arial" w:hAnsi="Arial" w:cs="Arial"/>
          <w:b/>
          <w:bCs/>
          <w:sz w:val="24"/>
          <w:szCs w:val="24"/>
        </w:rPr>
        <w:t>.-</w:t>
      </w:r>
      <w:proofErr w:type="gramEnd"/>
      <w:r w:rsidR="00726CBB">
        <w:rPr>
          <w:rFonts w:ascii="Arial" w:hAnsi="Arial" w:cs="Arial"/>
          <w:sz w:val="24"/>
          <w:szCs w:val="24"/>
        </w:rPr>
        <w:t xml:space="preserve"> </w:t>
      </w:r>
      <w:r w:rsidRPr="00405D4C">
        <w:rPr>
          <w:rFonts w:ascii="Arial" w:hAnsi="Arial" w:cs="Arial"/>
          <w:sz w:val="24"/>
          <w:szCs w:val="24"/>
        </w:rPr>
        <w:t>La liquidación impugnada se fundamenta en la Ordenanza Fiscal Reguladora de la Tasa de</w:t>
      </w:r>
      <w:r>
        <w:rPr>
          <w:rFonts w:ascii="Arial" w:hAnsi="Arial" w:cs="Arial"/>
          <w:sz w:val="24"/>
          <w:szCs w:val="24"/>
        </w:rPr>
        <w:t xml:space="preserve"> </w:t>
      </w:r>
      <w:r w:rsidRPr="00405D4C">
        <w:rPr>
          <w:rFonts w:ascii="Arial" w:hAnsi="Arial" w:cs="Arial"/>
          <w:sz w:val="24"/>
          <w:szCs w:val="24"/>
        </w:rPr>
        <w:t>Gestión de residuos sólidos urbanos</w:t>
      </w:r>
      <w:r>
        <w:rPr>
          <w:rFonts w:ascii="Arial" w:hAnsi="Arial" w:cs="Arial"/>
          <w:sz w:val="24"/>
          <w:szCs w:val="24"/>
        </w:rPr>
        <w:t xml:space="preserve"> </w:t>
      </w:r>
      <w:r w:rsidR="003C5E57">
        <w:rPr>
          <w:rFonts w:ascii="Arial" w:hAnsi="Arial" w:cs="Arial"/>
          <w:sz w:val="24"/>
          <w:szCs w:val="24"/>
        </w:rPr>
        <w:t>del Ayuntamiento de Santa Cruz de Tenerife</w:t>
      </w:r>
      <w:r w:rsidR="00F0738A">
        <w:rPr>
          <w:rFonts w:ascii="Arial" w:hAnsi="Arial" w:cs="Arial"/>
          <w:sz w:val="24"/>
          <w:szCs w:val="24"/>
        </w:rPr>
        <w:t xml:space="preserve"> aprobada en sesión ordinaria del Pleno del Ayuntamiento de Santa Cruz de Tenerife el día 19 de diciembre de 202</w:t>
      </w:r>
      <w:r w:rsidR="00860D48">
        <w:rPr>
          <w:rFonts w:ascii="Arial" w:hAnsi="Arial" w:cs="Arial"/>
          <w:sz w:val="24"/>
          <w:szCs w:val="24"/>
        </w:rPr>
        <w:t>5</w:t>
      </w:r>
      <w:r w:rsidR="003C5E57">
        <w:rPr>
          <w:rFonts w:ascii="Arial" w:hAnsi="Arial" w:cs="Arial"/>
          <w:sz w:val="24"/>
          <w:szCs w:val="24"/>
        </w:rPr>
        <w:t xml:space="preserve"> </w:t>
      </w:r>
      <w:r w:rsidRPr="00405D4C">
        <w:rPr>
          <w:rFonts w:ascii="Arial" w:hAnsi="Arial" w:cs="Arial"/>
          <w:i/>
          <w:iCs/>
          <w:sz w:val="20"/>
          <w:szCs w:val="20"/>
        </w:rPr>
        <w:t xml:space="preserve">(Aprobación. BOP nº 255/2009, de 30 de diciembre de 2009. Rectificación de Error. BOP nº 44/2010, de 05 de marzo de 2010. Modificación. BOP nº 223/2011, de 31 de diciembre de 2011. Modificación. BOP nº 94/2016, de 05 de </w:t>
      </w:r>
      <w:proofErr w:type="gramStart"/>
      <w:r w:rsidRPr="00405D4C">
        <w:rPr>
          <w:rFonts w:ascii="Arial" w:hAnsi="Arial" w:cs="Arial"/>
          <w:i/>
          <w:iCs/>
          <w:sz w:val="20"/>
          <w:szCs w:val="20"/>
        </w:rPr>
        <w:t>Agosto</w:t>
      </w:r>
      <w:proofErr w:type="gramEnd"/>
      <w:r w:rsidRPr="00405D4C">
        <w:rPr>
          <w:rFonts w:ascii="Arial" w:hAnsi="Arial" w:cs="Arial"/>
          <w:i/>
          <w:iCs/>
          <w:sz w:val="20"/>
          <w:szCs w:val="20"/>
        </w:rPr>
        <w:t xml:space="preserve"> de 2016. Modificación. BOP nº 156/2017, de 29 de diciembre de 2017. Modificación. BOP nº 156/2018, de 28 de diciembre de 2018. Modificación. BOP nº 157/2020, de 30 de diciembre de 2020. Modificación. BOP nº 57/2021, de 12 de mayo de 2021)</w:t>
      </w:r>
      <w:r w:rsidRPr="00405D4C">
        <w:rPr>
          <w:rFonts w:ascii="Arial" w:hAnsi="Arial" w:cs="Arial"/>
          <w:sz w:val="24"/>
          <w:szCs w:val="24"/>
        </w:rPr>
        <w:t>, que</w:t>
      </w:r>
      <w:r w:rsidR="00F0738A">
        <w:rPr>
          <w:rFonts w:ascii="Arial" w:hAnsi="Arial" w:cs="Arial"/>
          <w:sz w:val="24"/>
          <w:szCs w:val="24"/>
        </w:rPr>
        <w:t>,</w:t>
      </w:r>
      <w:r w:rsidRPr="00405D4C">
        <w:rPr>
          <w:rFonts w:ascii="Arial" w:hAnsi="Arial" w:cs="Arial"/>
          <w:sz w:val="24"/>
          <w:szCs w:val="24"/>
        </w:rPr>
        <w:t xml:space="preserve"> a su vez</w:t>
      </w:r>
      <w:r w:rsidR="003C5E57">
        <w:rPr>
          <w:rFonts w:ascii="Arial" w:hAnsi="Arial" w:cs="Arial"/>
          <w:sz w:val="24"/>
          <w:szCs w:val="24"/>
        </w:rPr>
        <w:t>,</w:t>
      </w:r>
      <w:r w:rsidRPr="00405D4C">
        <w:rPr>
          <w:rFonts w:ascii="Arial" w:hAnsi="Arial" w:cs="Arial"/>
          <w:sz w:val="24"/>
          <w:szCs w:val="24"/>
        </w:rPr>
        <w:t xml:space="preserve"> fue aprobada con fundamento en la Ley 7/2022, de 8 de abril, de residuos y suelos contaminados para una economía circular.</w:t>
      </w:r>
    </w:p>
    <w:p w14:paraId="38B5EC34" w14:textId="6D204C08" w:rsidR="00726CBB" w:rsidRDefault="00405D4C" w:rsidP="003C5E57">
      <w:pPr>
        <w:spacing w:before="100" w:beforeAutospacing="1" w:after="100" w:afterAutospacing="1" w:line="360" w:lineRule="auto"/>
        <w:jc w:val="both"/>
        <w:rPr>
          <w:rFonts w:ascii="Arial" w:hAnsi="Arial" w:cs="Arial"/>
          <w:sz w:val="24"/>
          <w:szCs w:val="24"/>
        </w:rPr>
      </w:pPr>
      <w:r w:rsidRPr="00405D4C">
        <w:rPr>
          <w:rFonts w:ascii="Arial" w:hAnsi="Arial" w:cs="Arial"/>
          <w:sz w:val="24"/>
          <w:szCs w:val="24"/>
        </w:rPr>
        <w:t>Pero lo cierto es que la ordenanza fiscal vulnera</w:t>
      </w:r>
      <w:r w:rsidR="003C5E57">
        <w:rPr>
          <w:rFonts w:ascii="Arial" w:hAnsi="Arial" w:cs="Arial"/>
          <w:sz w:val="24"/>
          <w:szCs w:val="24"/>
        </w:rPr>
        <w:t>, no solo el artículo 31 de la Constitución Española, sino</w:t>
      </w:r>
      <w:r w:rsidRPr="00405D4C">
        <w:rPr>
          <w:rFonts w:ascii="Arial" w:hAnsi="Arial" w:cs="Arial"/>
          <w:sz w:val="24"/>
          <w:szCs w:val="24"/>
        </w:rPr>
        <w:t xml:space="preserve"> lo dispuesto en </w:t>
      </w:r>
      <w:r w:rsidR="003C5E57">
        <w:rPr>
          <w:rFonts w:ascii="Arial" w:hAnsi="Arial" w:cs="Arial"/>
          <w:sz w:val="24"/>
          <w:szCs w:val="24"/>
        </w:rPr>
        <w:t>los</w:t>
      </w:r>
      <w:r w:rsidRPr="00405D4C">
        <w:rPr>
          <w:rFonts w:ascii="Arial" w:hAnsi="Arial" w:cs="Arial"/>
          <w:sz w:val="24"/>
          <w:szCs w:val="24"/>
        </w:rPr>
        <w:t xml:space="preserve"> art</w:t>
      </w:r>
      <w:r w:rsidR="003C5E57">
        <w:rPr>
          <w:rFonts w:ascii="Arial" w:hAnsi="Arial" w:cs="Arial"/>
          <w:sz w:val="24"/>
          <w:szCs w:val="24"/>
        </w:rPr>
        <w:t>s</w:t>
      </w:r>
      <w:r w:rsidRPr="00405D4C">
        <w:rPr>
          <w:rFonts w:ascii="Arial" w:hAnsi="Arial" w:cs="Arial"/>
          <w:sz w:val="24"/>
          <w:szCs w:val="24"/>
        </w:rPr>
        <w:t xml:space="preserve">. </w:t>
      </w:r>
      <w:r>
        <w:rPr>
          <w:rFonts w:ascii="Arial" w:hAnsi="Arial" w:cs="Arial"/>
          <w:sz w:val="24"/>
          <w:szCs w:val="24"/>
        </w:rPr>
        <w:t>15.1,</w:t>
      </w:r>
      <w:r w:rsidR="003C5E57">
        <w:rPr>
          <w:rFonts w:ascii="Arial" w:hAnsi="Arial" w:cs="Arial"/>
          <w:sz w:val="24"/>
          <w:szCs w:val="24"/>
        </w:rPr>
        <w:t xml:space="preserve"> 20.6,</w:t>
      </w:r>
      <w:r>
        <w:rPr>
          <w:rFonts w:ascii="Arial" w:hAnsi="Arial" w:cs="Arial"/>
          <w:sz w:val="24"/>
          <w:szCs w:val="24"/>
        </w:rPr>
        <w:t xml:space="preserve"> </w:t>
      </w:r>
      <w:r w:rsidRPr="00190C3D">
        <w:rPr>
          <w:rFonts w:ascii="Arial" w:hAnsi="Arial" w:cs="Arial"/>
          <w:sz w:val="24"/>
          <w:szCs w:val="24"/>
        </w:rPr>
        <w:t>24 y 25</w:t>
      </w:r>
      <w:r w:rsidRPr="00405D4C">
        <w:rPr>
          <w:rFonts w:ascii="Arial" w:hAnsi="Arial" w:cs="Arial"/>
          <w:sz w:val="24"/>
          <w:szCs w:val="24"/>
        </w:rPr>
        <w:t xml:space="preserve"> del Real Decreto Legislativo 2/2004, de 5 de marzo, por el que se aprueba el texto</w:t>
      </w:r>
      <w:r w:rsidR="003C5E57">
        <w:rPr>
          <w:rFonts w:ascii="Arial" w:hAnsi="Arial" w:cs="Arial"/>
          <w:sz w:val="24"/>
          <w:szCs w:val="24"/>
        </w:rPr>
        <w:t xml:space="preserve"> </w:t>
      </w:r>
      <w:r w:rsidRPr="00405D4C">
        <w:rPr>
          <w:rFonts w:ascii="Arial" w:hAnsi="Arial" w:cs="Arial"/>
          <w:sz w:val="24"/>
          <w:szCs w:val="24"/>
        </w:rPr>
        <w:t xml:space="preserve">refundido de la Ley Reguladora de las Haciendas Locales (en adelante, el “TRLHL”), así como el mandato contenido en la Ley 7/2022 </w:t>
      </w:r>
      <w:r w:rsidR="00860D48">
        <w:rPr>
          <w:rFonts w:ascii="Arial" w:hAnsi="Arial" w:cs="Arial"/>
          <w:sz w:val="24"/>
          <w:szCs w:val="24"/>
        </w:rPr>
        <w:t>y</w:t>
      </w:r>
      <w:r w:rsidRPr="00405D4C">
        <w:rPr>
          <w:rFonts w:ascii="Arial" w:hAnsi="Arial" w:cs="Arial"/>
          <w:sz w:val="24"/>
          <w:szCs w:val="24"/>
        </w:rPr>
        <w:t xml:space="preserve"> algunos de los principios generales de ordenación de las tasas, por lo que adolece de vicios jurídicos relevantes </w:t>
      </w:r>
      <w:r w:rsidR="003C5E57">
        <w:rPr>
          <w:rFonts w:ascii="Arial" w:hAnsi="Arial" w:cs="Arial"/>
          <w:sz w:val="24"/>
          <w:szCs w:val="24"/>
        </w:rPr>
        <w:t>que determinarían la nulidad de la ordenanza y, por consiguiente, la liquidación practicada</w:t>
      </w:r>
      <w:r w:rsidRPr="00405D4C">
        <w:rPr>
          <w:rFonts w:ascii="Arial" w:hAnsi="Arial" w:cs="Arial"/>
          <w:sz w:val="24"/>
          <w:szCs w:val="24"/>
        </w:rPr>
        <w:t>.</w:t>
      </w:r>
    </w:p>
    <w:p w14:paraId="5B2DC772" w14:textId="77777777" w:rsidR="003C5E57" w:rsidRDefault="00405D4C" w:rsidP="003C5E57">
      <w:pPr>
        <w:spacing w:before="100" w:beforeAutospacing="1" w:after="100" w:afterAutospacing="1" w:line="360" w:lineRule="auto"/>
        <w:jc w:val="both"/>
        <w:rPr>
          <w:rFonts w:ascii="Arial" w:hAnsi="Arial" w:cs="Arial"/>
          <w:sz w:val="24"/>
          <w:szCs w:val="24"/>
        </w:rPr>
      </w:pPr>
      <w:proofErr w:type="gramStart"/>
      <w:r>
        <w:rPr>
          <w:rFonts w:ascii="Arial" w:hAnsi="Arial" w:cs="Arial"/>
          <w:b/>
          <w:bCs/>
          <w:sz w:val="24"/>
          <w:szCs w:val="24"/>
        </w:rPr>
        <w:t>PRIMERA.-</w:t>
      </w:r>
      <w:proofErr w:type="gramEnd"/>
      <w:r>
        <w:rPr>
          <w:rFonts w:ascii="Arial" w:hAnsi="Arial" w:cs="Arial"/>
          <w:b/>
          <w:bCs/>
          <w:sz w:val="24"/>
          <w:szCs w:val="24"/>
        </w:rPr>
        <w:t xml:space="preserve"> </w:t>
      </w:r>
      <w:r w:rsidR="003C5E57" w:rsidRPr="003C5E57">
        <w:rPr>
          <w:rFonts w:ascii="Arial" w:hAnsi="Arial" w:cs="Arial"/>
          <w:sz w:val="24"/>
          <w:szCs w:val="24"/>
        </w:rPr>
        <w:t>SOBRE LA NULIDAD DE PLENO DERECHO DE LA DISPOSICIÓN POR</w:t>
      </w:r>
      <w:r w:rsidR="003C5E57">
        <w:rPr>
          <w:rFonts w:ascii="Arial" w:hAnsi="Arial" w:cs="Arial"/>
          <w:b/>
          <w:bCs/>
          <w:sz w:val="24"/>
          <w:szCs w:val="24"/>
        </w:rPr>
        <w:t xml:space="preserve"> </w:t>
      </w:r>
      <w:r w:rsidRPr="00405D4C">
        <w:rPr>
          <w:rFonts w:ascii="Arial" w:hAnsi="Arial" w:cs="Arial"/>
          <w:sz w:val="24"/>
          <w:szCs w:val="24"/>
        </w:rPr>
        <w:t>CALIFICACIÓN JURÍDICA ERRÓNEA DE LA PRESTACIÓN: NO ES UNA TASA</w:t>
      </w:r>
      <w:r w:rsidR="003C5E57">
        <w:rPr>
          <w:rFonts w:ascii="Arial" w:hAnsi="Arial" w:cs="Arial"/>
          <w:b/>
          <w:bCs/>
          <w:sz w:val="24"/>
          <w:szCs w:val="24"/>
        </w:rPr>
        <w:t xml:space="preserve"> </w:t>
      </w:r>
      <w:r w:rsidR="003C5E57" w:rsidRPr="003C5E57">
        <w:rPr>
          <w:rFonts w:ascii="Arial" w:hAnsi="Arial" w:cs="Arial"/>
          <w:sz w:val="24"/>
          <w:szCs w:val="24"/>
        </w:rPr>
        <w:t>(ART. 20.6 TRLRHL).</w:t>
      </w:r>
    </w:p>
    <w:p w14:paraId="450A4DB0" w14:textId="0B11CCA4" w:rsidR="00405D4C" w:rsidRPr="003C5E57" w:rsidRDefault="00405D4C" w:rsidP="003C5E57">
      <w:pPr>
        <w:spacing w:before="100" w:beforeAutospacing="1" w:after="100" w:afterAutospacing="1" w:line="360" w:lineRule="auto"/>
        <w:jc w:val="both"/>
        <w:rPr>
          <w:rFonts w:ascii="Arial" w:hAnsi="Arial" w:cs="Arial"/>
          <w:b/>
          <w:bCs/>
          <w:sz w:val="24"/>
          <w:szCs w:val="24"/>
        </w:rPr>
      </w:pPr>
      <w:r w:rsidRPr="00405D4C">
        <w:rPr>
          <w:rFonts w:ascii="Arial" w:hAnsi="Arial" w:cs="Arial"/>
          <w:sz w:val="24"/>
          <w:szCs w:val="24"/>
        </w:rPr>
        <w:t xml:space="preserve">En el art. 11.3 de la Ley 7/2022 se establece que, en relación con los costes de gestión de los residuos de competencia local, de acuerdo con lo dispuesto en el TRLHL, las entidades locales establecerán, en el plazo de tres años a contar desde su entrada en </w:t>
      </w:r>
      <w:r w:rsidRPr="00405D4C">
        <w:rPr>
          <w:rFonts w:ascii="Arial" w:hAnsi="Arial" w:cs="Arial"/>
          <w:sz w:val="24"/>
          <w:szCs w:val="24"/>
        </w:rPr>
        <w:lastRenderedPageBreak/>
        <w:t>vigor, «una tasa o, en su caso, una prestación patrimonial de carácter público no tributaria».</w:t>
      </w:r>
    </w:p>
    <w:p w14:paraId="37533207" w14:textId="77777777" w:rsidR="00405D4C" w:rsidRPr="00405D4C" w:rsidRDefault="00405D4C" w:rsidP="00405D4C">
      <w:pPr>
        <w:spacing w:before="100" w:beforeAutospacing="1" w:after="100" w:afterAutospacing="1" w:line="360" w:lineRule="auto"/>
        <w:jc w:val="both"/>
        <w:rPr>
          <w:rFonts w:ascii="Arial" w:hAnsi="Arial" w:cs="Arial"/>
          <w:sz w:val="24"/>
          <w:szCs w:val="24"/>
        </w:rPr>
      </w:pPr>
      <w:r w:rsidRPr="00405D4C">
        <w:rPr>
          <w:rFonts w:ascii="Arial" w:hAnsi="Arial" w:cs="Arial"/>
          <w:sz w:val="24"/>
          <w:szCs w:val="24"/>
        </w:rPr>
        <w:t>En este sentido, la Ley 7/2022 no establece cuál ha de ser la naturaleza jurídica de la contraprestación que han de exigir las entidades locales por la gestión de los residuos, sino que se remite a lo previsto en el TRLHL para dilucidar si se ha de aprobar una tasa o una prestación patrimonial de carácter público no tributaria.</w:t>
      </w:r>
    </w:p>
    <w:p w14:paraId="22ECE91A" w14:textId="10C4FC91" w:rsidR="005F6933" w:rsidRPr="005F6933" w:rsidRDefault="005F6933" w:rsidP="005F6933">
      <w:pPr>
        <w:spacing w:before="100" w:beforeAutospacing="1" w:after="100" w:afterAutospacing="1" w:line="360" w:lineRule="auto"/>
        <w:jc w:val="both"/>
        <w:rPr>
          <w:rFonts w:ascii="Arial" w:hAnsi="Arial" w:cs="Arial"/>
          <w:sz w:val="24"/>
          <w:szCs w:val="24"/>
        </w:rPr>
      </w:pPr>
      <w:r>
        <w:rPr>
          <w:rFonts w:ascii="Arial" w:hAnsi="Arial" w:cs="Arial"/>
          <w:sz w:val="24"/>
          <w:szCs w:val="24"/>
        </w:rPr>
        <w:t>La</w:t>
      </w:r>
      <w:r w:rsidRPr="005F6933">
        <w:rPr>
          <w:rFonts w:ascii="Arial" w:hAnsi="Arial" w:cs="Arial"/>
          <w:sz w:val="24"/>
          <w:szCs w:val="24"/>
        </w:rPr>
        <w:t xml:space="preserve"> naturaleza concreta de dicha prestación</w:t>
      </w:r>
      <w:r w:rsidR="00860D48">
        <w:rPr>
          <w:rFonts w:ascii="Arial" w:hAnsi="Arial" w:cs="Arial"/>
          <w:sz w:val="24"/>
          <w:szCs w:val="24"/>
        </w:rPr>
        <w:t>,</w:t>
      </w:r>
      <w:r w:rsidRPr="005F6933">
        <w:rPr>
          <w:rFonts w:ascii="Arial" w:hAnsi="Arial" w:cs="Arial"/>
          <w:sz w:val="24"/>
          <w:szCs w:val="24"/>
        </w:rPr>
        <w:t xml:space="preserve"> </w:t>
      </w:r>
      <w:r>
        <w:rPr>
          <w:rFonts w:ascii="Arial" w:hAnsi="Arial" w:cs="Arial"/>
          <w:sz w:val="24"/>
          <w:szCs w:val="24"/>
        </w:rPr>
        <w:t>es decir</w:t>
      </w:r>
      <w:r w:rsidRPr="005F6933">
        <w:rPr>
          <w:rFonts w:ascii="Arial" w:hAnsi="Arial" w:cs="Arial"/>
          <w:sz w:val="24"/>
          <w:szCs w:val="24"/>
        </w:rPr>
        <w:t xml:space="preserve">, </w:t>
      </w:r>
      <w:r>
        <w:rPr>
          <w:rFonts w:ascii="Arial" w:hAnsi="Arial" w:cs="Arial"/>
          <w:sz w:val="24"/>
          <w:szCs w:val="24"/>
        </w:rPr>
        <w:t xml:space="preserve">si se trata de una tasa con </w:t>
      </w:r>
      <w:r w:rsidRPr="005F6933">
        <w:rPr>
          <w:rFonts w:ascii="Arial" w:hAnsi="Arial" w:cs="Arial"/>
          <w:sz w:val="24"/>
          <w:szCs w:val="24"/>
        </w:rPr>
        <w:t xml:space="preserve">carácter tributario o </w:t>
      </w:r>
      <w:r>
        <w:rPr>
          <w:rFonts w:ascii="Arial" w:hAnsi="Arial" w:cs="Arial"/>
          <w:sz w:val="24"/>
          <w:szCs w:val="24"/>
        </w:rPr>
        <w:t xml:space="preserve">una </w:t>
      </w:r>
      <w:r w:rsidRPr="005F6933">
        <w:rPr>
          <w:rFonts w:ascii="Arial" w:hAnsi="Arial" w:cs="Arial"/>
          <w:sz w:val="24"/>
          <w:szCs w:val="24"/>
        </w:rPr>
        <w:t>prestación patrimonial pública no</w:t>
      </w:r>
      <w:r>
        <w:rPr>
          <w:rFonts w:ascii="Arial" w:hAnsi="Arial" w:cs="Arial"/>
          <w:sz w:val="24"/>
          <w:szCs w:val="24"/>
        </w:rPr>
        <w:t xml:space="preserve"> </w:t>
      </w:r>
      <w:r w:rsidRPr="005F6933">
        <w:rPr>
          <w:rFonts w:ascii="Arial" w:hAnsi="Arial" w:cs="Arial"/>
          <w:sz w:val="24"/>
          <w:szCs w:val="24"/>
        </w:rPr>
        <w:t>tributaria</w:t>
      </w:r>
      <w:r>
        <w:rPr>
          <w:rFonts w:ascii="Arial" w:hAnsi="Arial" w:cs="Arial"/>
          <w:sz w:val="24"/>
          <w:szCs w:val="24"/>
        </w:rPr>
        <w:t>,</w:t>
      </w:r>
      <w:r w:rsidRPr="005F6933">
        <w:rPr>
          <w:rFonts w:ascii="Arial" w:hAnsi="Arial" w:cs="Arial"/>
          <w:sz w:val="24"/>
          <w:szCs w:val="24"/>
        </w:rPr>
        <w:t xml:space="preserve"> no depende de la denominación que le atribuya </w:t>
      </w:r>
      <w:r>
        <w:rPr>
          <w:rFonts w:ascii="Arial" w:hAnsi="Arial" w:cs="Arial"/>
          <w:sz w:val="24"/>
          <w:szCs w:val="24"/>
        </w:rPr>
        <w:t>el Ayuntamiento</w:t>
      </w:r>
      <w:r w:rsidRPr="005F6933">
        <w:rPr>
          <w:rFonts w:ascii="Arial" w:hAnsi="Arial" w:cs="Arial"/>
          <w:sz w:val="24"/>
          <w:szCs w:val="24"/>
        </w:rPr>
        <w:t>,</w:t>
      </w:r>
      <w:r>
        <w:rPr>
          <w:rFonts w:ascii="Arial" w:hAnsi="Arial" w:cs="Arial"/>
          <w:sz w:val="24"/>
          <w:szCs w:val="24"/>
        </w:rPr>
        <w:t xml:space="preserve"> </w:t>
      </w:r>
      <w:r w:rsidRPr="005F6933">
        <w:rPr>
          <w:rFonts w:ascii="Arial" w:hAnsi="Arial" w:cs="Arial"/>
          <w:sz w:val="24"/>
          <w:szCs w:val="24"/>
        </w:rPr>
        <w:t>sino de los criterios normativos establecidos en el TRLRHL</w:t>
      </w:r>
      <w:r>
        <w:rPr>
          <w:rFonts w:ascii="Arial" w:hAnsi="Arial" w:cs="Arial"/>
          <w:sz w:val="24"/>
          <w:szCs w:val="24"/>
        </w:rPr>
        <w:t>, en concreto en su</w:t>
      </w:r>
      <w:r w:rsidRPr="005F6933">
        <w:rPr>
          <w:rFonts w:ascii="Arial" w:hAnsi="Arial" w:cs="Arial"/>
          <w:sz w:val="24"/>
          <w:szCs w:val="24"/>
        </w:rPr>
        <w:t xml:space="preserve"> artículo 20</w:t>
      </w:r>
      <w:r w:rsidR="00017E87">
        <w:rPr>
          <w:rFonts w:ascii="Arial" w:hAnsi="Arial" w:cs="Arial"/>
          <w:sz w:val="24"/>
          <w:szCs w:val="24"/>
        </w:rPr>
        <w:t>,</w:t>
      </w:r>
      <w:bookmarkStart w:id="0" w:name="_GoBack"/>
      <w:bookmarkEnd w:id="0"/>
      <w:r w:rsidRPr="005F6933">
        <w:rPr>
          <w:rFonts w:ascii="Arial" w:hAnsi="Arial" w:cs="Arial"/>
          <w:sz w:val="24"/>
          <w:szCs w:val="24"/>
        </w:rPr>
        <w:t xml:space="preserve"> </w:t>
      </w:r>
      <w:r>
        <w:rPr>
          <w:rFonts w:ascii="Arial" w:hAnsi="Arial" w:cs="Arial"/>
          <w:sz w:val="24"/>
          <w:szCs w:val="24"/>
        </w:rPr>
        <w:t>que</w:t>
      </w:r>
      <w:r w:rsidRPr="005F6933">
        <w:rPr>
          <w:rFonts w:ascii="Arial" w:hAnsi="Arial" w:cs="Arial"/>
          <w:sz w:val="24"/>
          <w:szCs w:val="24"/>
        </w:rPr>
        <w:t xml:space="preserve"> delimita el régimen de las tasas por la</w:t>
      </w:r>
      <w:r>
        <w:rPr>
          <w:rFonts w:ascii="Arial" w:hAnsi="Arial" w:cs="Arial"/>
          <w:sz w:val="24"/>
          <w:szCs w:val="24"/>
        </w:rPr>
        <w:t xml:space="preserve"> </w:t>
      </w:r>
      <w:r w:rsidRPr="005F6933">
        <w:rPr>
          <w:rFonts w:ascii="Arial" w:hAnsi="Arial" w:cs="Arial"/>
          <w:sz w:val="24"/>
          <w:szCs w:val="24"/>
        </w:rPr>
        <w:t>utilización privativa o el aprovechamiento especial del dominio público local, así</w:t>
      </w:r>
      <w:r>
        <w:rPr>
          <w:rFonts w:ascii="Arial" w:hAnsi="Arial" w:cs="Arial"/>
          <w:sz w:val="24"/>
          <w:szCs w:val="24"/>
        </w:rPr>
        <w:t xml:space="preserve"> </w:t>
      </w:r>
      <w:r w:rsidRPr="005F6933">
        <w:rPr>
          <w:rFonts w:ascii="Arial" w:hAnsi="Arial" w:cs="Arial"/>
          <w:sz w:val="24"/>
          <w:szCs w:val="24"/>
        </w:rPr>
        <w:t>como por la prestación de servicios o realización de actividades administrativas</w:t>
      </w:r>
      <w:r>
        <w:rPr>
          <w:rFonts w:ascii="Arial" w:hAnsi="Arial" w:cs="Arial"/>
          <w:sz w:val="24"/>
          <w:szCs w:val="24"/>
        </w:rPr>
        <w:t xml:space="preserve"> </w:t>
      </w:r>
      <w:r w:rsidRPr="005F6933">
        <w:rPr>
          <w:rFonts w:ascii="Arial" w:hAnsi="Arial" w:cs="Arial"/>
          <w:sz w:val="24"/>
          <w:szCs w:val="24"/>
        </w:rPr>
        <w:t>de competencia local</w:t>
      </w:r>
      <w:r>
        <w:rPr>
          <w:rFonts w:ascii="Arial" w:hAnsi="Arial" w:cs="Arial"/>
          <w:sz w:val="24"/>
          <w:szCs w:val="24"/>
        </w:rPr>
        <w:t>, disponiendo el punto 6</w:t>
      </w:r>
      <w:r w:rsidR="00023E25">
        <w:rPr>
          <w:rFonts w:ascii="Arial" w:hAnsi="Arial" w:cs="Arial"/>
          <w:sz w:val="24"/>
          <w:szCs w:val="24"/>
        </w:rPr>
        <w:t xml:space="preserve">, introducido tras </w:t>
      </w:r>
      <w:r w:rsidR="00023E25" w:rsidRPr="00405D4C">
        <w:rPr>
          <w:rFonts w:ascii="Arial" w:hAnsi="Arial" w:cs="Arial"/>
          <w:sz w:val="24"/>
          <w:szCs w:val="24"/>
        </w:rPr>
        <w:t xml:space="preserve">la reforma </w:t>
      </w:r>
      <w:r w:rsidR="00023E25">
        <w:rPr>
          <w:rFonts w:ascii="Arial" w:hAnsi="Arial" w:cs="Arial"/>
          <w:sz w:val="24"/>
          <w:szCs w:val="24"/>
        </w:rPr>
        <w:t>de</w:t>
      </w:r>
      <w:r w:rsidR="00023E25" w:rsidRPr="00405D4C">
        <w:rPr>
          <w:rFonts w:ascii="Arial" w:hAnsi="Arial" w:cs="Arial"/>
          <w:sz w:val="24"/>
          <w:szCs w:val="24"/>
        </w:rPr>
        <w:t xml:space="preserve"> la Ley 9/2017, de 8 de noviembre</w:t>
      </w:r>
      <w:r w:rsidR="00023E25">
        <w:rPr>
          <w:rFonts w:ascii="Arial" w:hAnsi="Arial" w:cs="Arial"/>
          <w:sz w:val="24"/>
          <w:szCs w:val="24"/>
        </w:rPr>
        <w:t>,</w:t>
      </w:r>
      <w:r>
        <w:rPr>
          <w:rFonts w:ascii="Arial" w:hAnsi="Arial" w:cs="Arial"/>
          <w:sz w:val="24"/>
          <w:szCs w:val="24"/>
        </w:rPr>
        <w:t xml:space="preserve"> que</w:t>
      </w:r>
      <w:r w:rsidRPr="005F6933">
        <w:rPr>
          <w:rFonts w:ascii="Arial" w:hAnsi="Arial" w:cs="Arial"/>
          <w:sz w:val="24"/>
          <w:szCs w:val="24"/>
        </w:rPr>
        <w:t>:</w:t>
      </w:r>
      <w:r>
        <w:rPr>
          <w:rFonts w:ascii="Arial" w:hAnsi="Arial" w:cs="Arial"/>
          <w:sz w:val="24"/>
          <w:szCs w:val="24"/>
        </w:rPr>
        <w:t xml:space="preserve"> </w:t>
      </w:r>
      <w:r w:rsidRPr="005F6933">
        <w:rPr>
          <w:rFonts w:ascii="Arial" w:hAnsi="Arial" w:cs="Arial"/>
          <w:i/>
          <w:iCs/>
          <w:sz w:val="24"/>
          <w:szCs w:val="24"/>
        </w:rPr>
        <w:t>"Las contraprestaciones económicas establecidas coactivamente que se perciban por la prestación de los servicios públicos a que se refiere el apartado 4 de este artículo, realizada de forma directa mediante personificación privada o mediante gestión indirecta, tendrán la condición de prestaciones patrimoniales de carácter público no tributario conforme a lo previsto en el artículo 31.3 de la Constitución."</w:t>
      </w:r>
    </w:p>
    <w:p w14:paraId="1C1295A7" w14:textId="1A0F4988" w:rsidR="00023E25" w:rsidRDefault="00023E25" w:rsidP="00023E25">
      <w:pPr>
        <w:spacing w:before="100" w:beforeAutospacing="1" w:after="100" w:afterAutospacing="1" w:line="360" w:lineRule="auto"/>
        <w:jc w:val="both"/>
        <w:rPr>
          <w:rFonts w:ascii="Arial" w:hAnsi="Arial" w:cs="Arial"/>
          <w:sz w:val="24"/>
          <w:szCs w:val="24"/>
        </w:rPr>
      </w:pPr>
      <w:r>
        <w:rPr>
          <w:rFonts w:ascii="Arial" w:hAnsi="Arial" w:cs="Arial"/>
          <w:sz w:val="24"/>
          <w:szCs w:val="24"/>
        </w:rPr>
        <w:t>Por lo tanto, s</w:t>
      </w:r>
      <w:r w:rsidRPr="00023E25">
        <w:rPr>
          <w:rFonts w:ascii="Arial" w:hAnsi="Arial" w:cs="Arial"/>
          <w:sz w:val="24"/>
          <w:szCs w:val="24"/>
        </w:rPr>
        <w:t xml:space="preserve">e trata de una distinción normativa clara, vinculada directamente a la forma de </w:t>
      </w:r>
      <w:r>
        <w:rPr>
          <w:rFonts w:ascii="Arial" w:hAnsi="Arial" w:cs="Arial"/>
          <w:sz w:val="24"/>
          <w:szCs w:val="24"/>
        </w:rPr>
        <w:t>g</w:t>
      </w:r>
      <w:r w:rsidRPr="00023E25">
        <w:rPr>
          <w:rFonts w:ascii="Arial" w:hAnsi="Arial" w:cs="Arial"/>
          <w:sz w:val="24"/>
          <w:szCs w:val="24"/>
        </w:rPr>
        <w:t>estión del servicio público, y cuya finalidad es preservar la coherencia del sistema jurídico tras la reforma operada por la Ley 9/2017, de 8 de noviembre, de Contratos del Sector Público, evitando que se utilice la categoría de tributo para financiar prestaciones realizadas bajo fórmulas propias de gestión contractual o concesional.</w:t>
      </w:r>
    </w:p>
    <w:p w14:paraId="4624A82A" w14:textId="1ADD66CA" w:rsidR="00023E25" w:rsidRPr="00023E25" w:rsidRDefault="00023E25" w:rsidP="00023E25">
      <w:pPr>
        <w:spacing w:before="100" w:beforeAutospacing="1" w:after="100" w:afterAutospacing="1" w:line="360" w:lineRule="auto"/>
        <w:jc w:val="both"/>
        <w:rPr>
          <w:rFonts w:ascii="Arial" w:hAnsi="Arial" w:cs="Arial"/>
          <w:sz w:val="24"/>
          <w:szCs w:val="24"/>
        </w:rPr>
      </w:pPr>
      <w:r>
        <w:rPr>
          <w:rFonts w:ascii="Arial" w:hAnsi="Arial" w:cs="Arial"/>
          <w:sz w:val="24"/>
          <w:szCs w:val="24"/>
        </w:rPr>
        <w:t>Resulta evidente y probado que e</w:t>
      </w:r>
      <w:r w:rsidRPr="00023E25">
        <w:rPr>
          <w:rFonts w:ascii="Arial" w:hAnsi="Arial" w:cs="Arial"/>
          <w:sz w:val="24"/>
          <w:szCs w:val="24"/>
        </w:rPr>
        <w:t>l servicio de recogida y transporte de residuos municipales</w:t>
      </w:r>
      <w:r>
        <w:rPr>
          <w:rFonts w:ascii="Arial" w:hAnsi="Arial" w:cs="Arial"/>
          <w:sz w:val="24"/>
          <w:szCs w:val="24"/>
        </w:rPr>
        <w:t xml:space="preserve"> en el Ayuntamiento de Santa Cruz</w:t>
      </w:r>
      <w:r w:rsidRPr="00023E25">
        <w:rPr>
          <w:rFonts w:ascii="Arial" w:hAnsi="Arial" w:cs="Arial"/>
          <w:sz w:val="24"/>
          <w:szCs w:val="24"/>
        </w:rPr>
        <w:t xml:space="preserve"> se presta mediante gestión indirecta, esto es, a través de un concesionario</w:t>
      </w:r>
      <w:r w:rsidR="00A97203">
        <w:rPr>
          <w:rFonts w:ascii="Arial" w:hAnsi="Arial" w:cs="Arial"/>
          <w:sz w:val="24"/>
          <w:szCs w:val="24"/>
        </w:rPr>
        <w:t xml:space="preserve"> (Valoriza).</w:t>
      </w:r>
    </w:p>
    <w:p w14:paraId="13EEE550" w14:textId="3C274CFD" w:rsidR="00023E25" w:rsidRDefault="00A97203" w:rsidP="00A97203">
      <w:pPr>
        <w:spacing w:before="100" w:beforeAutospacing="1" w:after="100" w:afterAutospacing="1" w:line="360" w:lineRule="auto"/>
        <w:jc w:val="both"/>
        <w:rPr>
          <w:rFonts w:ascii="Arial" w:hAnsi="Arial" w:cs="Arial"/>
          <w:sz w:val="24"/>
          <w:szCs w:val="24"/>
        </w:rPr>
      </w:pPr>
      <w:r w:rsidRPr="00A97203">
        <w:rPr>
          <w:rFonts w:ascii="Arial" w:hAnsi="Arial" w:cs="Arial"/>
          <w:sz w:val="24"/>
          <w:szCs w:val="24"/>
        </w:rPr>
        <w:t>El carácter obligatorio del servicio no determina por sí mismo la naturaleza tributaria de la contraprestación</w:t>
      </w:r>
      <w:r>
        <w:rPr>
          <w:rFonts w:ascii="Arial" w:hAnsi="Arial" w:cs="Arial"/>
          <w:sz w:val="24"/>
          <w:szCs w:val="24"/>
        </w:rPr>
        <w:t>, pues como se ha expuesto, el</w:t>
      </w:r>
      <w:r w:rsidRPr="00A97203">
        <w:rPr>
          <w:rFonts w:ascii="Arial" w:hAnsi="Arial" w:cs="Arial"/>
          <w:sz w:val="24"/>
          <w:szCs w:val="24"/>
        </w:rPr>
        <w:t xml:space="preserve"> artículo 20.6 TRLRHL contempla </w:t>
      </w:r>
      <w:r w:rsidRPr="00A97203">
        <w:rPr>
          <w:rFonts w:ascii="Arial" w:hAnsi="Arial" w:cs="Arial"/>
          <w:sz w:val="24"/>
          <w:szCs w:val="24"/>
        </w:rPr>
        <w:lastRenderedPageBreak/>
        <w:t>expresamente supuestos de prestaciones coactivas por servicios públicos obligatorios que, sin embargo, se califican como prestaciones patrimoniales públicas no tributarias cuando el servicio se presta mediante gestión indirecta o personificación privada</w:t>
      </w:r>
      <w:r>
        <w:rPr>
          <w:rFonts w:ascii="Arial" w:hAnsi="Arial" w:cs="Arial"/>
          <w:sz w:val="24"/>
          <w:szCs w:val="24"/>
        </w:rPr>
        <w:t>.</w:t>
      </w:r>
    </w:p>
    <w:p w14:paraId="6E04B119" w14:textId="019A5682" w:rsidR="00792C3E" w:rsidRDefault="00F0738A" w:rsidP="00A97203">
      <w:pPr>
        <w:spacing w:before="100" w:beforeAutospacing="1" w:after="100" w:afterAutospacing="1" w:line="360" w:lineRule="auto"/>
        <w:jc w:val="both"/>
        <w:rPr>
          <w:rFonts w:ascii="Arial" w:hAnsi="Arial" w:cs="Arial"/>
          <w:sz w:val="24"/>
          <w:szCs w:val="24"/>
        </w:rPr>
      </w:pPr>
      <w:r>
        <w:rPr>
          <w:rFonts w:ascii="Arial" w:hAnsi="Arial" w:cs="Arial"/>
          <w:sz w:val="24"/>
          <w:szCs w:val="24"/>
        </w:rPr>
        <w:t>A más abundamiento, la Ley 7/2022 no impone necesariamente una tasa, sino que habilita alternativas de financiación</w:t>
      </w:r>
      <w:r w:rsidR="00792C3E">
        <w:rPr>
          <w:rFonts w:ascii="Arial" w:hAnsi="Arial" w:cs="Arial"/>
          <w:sz w:val="24"/>
          <w:szCs w:val="24"/>
        </w:rPr>
        <w:t>, admitiendo expresamente la utilización de tasas tributarias o prestaciones patrimoniales de carácter público no tributario.</w:t>
      </w:r>
    </w:p>
    <w:p w14:paraId="60C3CFBA" w14:textId="34D2D6B8" w:rsidR="001369F6" w:rsidRDefault="00A97203" w:rsidP="00F5670E">
      <w:pPr>
        <w:spacing w:before="100" w:beforeAutospacing="1" w:after="100" w:afterAutospacing="1" w:line="360" w:lineRule="auto"/>
        <w:jc w:val="both"/>
        <w:rPr>
          <w:rFonts w:ascii="Arial" w:hAnsi="Arial" w:cs="Arial"/>
          <w:sz w:val="24"/>
          <w:szCs w:val="24"/>
        </w:rPr>
      </w:pPr>
      <w:proofErr w:type="gramStart"/>
      <w:r>
        <w:rPr>
          <w:rFonts w:ascii="Arial" w:hAnsi="Arial" w:cs="Arial"/>
          <w:b/>
          <w:bCs/>
          <w:sz w:val="24"/>
          <w:szCs w:val="24"/>
        </w:rPr>
        <w:t>SEGUNDA</w:t>
      </w:r>
      <w:r w:rsidR="001369F6" w:rsidRPr="001369F6">
        <w:rPr>
          <w:rFonts w:ascii="Arial" w:hAnsi="Arial" w:cs="Arial"/>
          <w:b/>
          <w:bCs/>
          <w:sz w:val="24"/>
          <w:szCs w:val="24"/>
        </w:rPr>
        <w:t>.-</w:t>
      </w:r>
      <w:proofErr w:type="gramEnd"/>
      <w:r w:rsidR="001369F6">
        <w:rPr>
          <w:rFonts w:ascii="Arial" w:hAnsi="Arial" w:cs="Arial"/>
          <w:sz w:val="24"/>
          <w:szCs w:val="24"/>
        </w:rPr>
        <w:t xml:space="preserve"> </w:t>
      </w:r>
      <w:r w:rsidR="001369F6" w:rsidRPr="001369F6">
        <w:rPr>
          <w:rFonts w:ascii="Arial" w:hAnsi="Arial" w:cs="Arial"/>
          <w:sz w:val="24"/>
          <w:szCs w:val="24"/>
        </w:rPr>
        <w:t xml:space="preserve">NULIDAD DE LA ORDENANZA FISCAL COMO CONSECUENCIA DE </w:t>
      </w:r>
      <w:r w:rsidR="001369F6">
        <w:rPr>
          <w:rFonts w:ascii="Arial" w:hAnsi="Arial" w:cs="Arial"/>
          <w:sz w:val="24"/>
          <w:szCs w:val="24"/>
        </w:rPr>
        <w:t>LA FALTA DE ACUERDO DE IMPOSICIÓN DEL TRIBUTO.</w:t>
      </w:r>
    </w:p>
    <w:p w14:paraId="4554DCA4" w14:textId="3ABD0D14" w:rsidR="00904E40" w:rsidRDefault="00A97203" w:rsidP="00AA2623">
      <w:pPr>
        <w:spacing w:before="100" w:beforeAutospacing="1" w:after="100" w:afterAutospacing="1" w:line="360" w:lineRule="auto"/>
        <w:jc w:val="both"/>
        <w:rPr>
          <w:rFonts w:ascii="Arial" w:hAnsi="Arial" w:cs="Arial"/>
          <w:sz w:val="24"/>
          <w:szCs w:val="24"/>
        </w:rPr>
      </w:pPr>
      <w:r>
        <w:rPr>
          <w:rFonts w:ascii="Arial" w:hAnsi="Arial" w:cs="Arial"/>
          <w:sz w:val="24"/>
          <w:szCs w:val="24"/>
        </w:rPr>
        <w:t>Tal</w:t>
      </w:r>
      <w:r w:rsidR="0048087B">
        <w:rPr>
          <w:rFonts w:ascii="Arial" w:hAnsi="Arial" w:cs="Arial"/>
          <w:sz w:val="24"/>
          <w:szCs w:val="24"/>
        </w:rPr>
        <w:t xml:space="preserve"> y como se exige en el artículo 15.1 del </w:t>
      </w:r>
      <w:r w:rsidR="00F5670E" w:rsidRPr="00F5670E">
        <w:rPr>
          <w:rFonts w:ascii="Arial" w:hAnsi="Arial" w:cs="Arial"/>
          <w:sz w:val="24"/>
          <w:szCs w:val="24"/>
        </w:rPr>
        <w:t>Real Decreto Legislativo 2/2004, de 5 de marzo, por el que se aprueba el texto refundido de la Ley Reguladora de las Haciendas Locales</w:t>
      </w:r>
      <w:r>
        <w:rPr>
          <w:rFonts w:ascii="Arial" w:hAnsi="Arial" w:cs="Arial"/>
          <w:sz w:val="24"/>
          <w:szCs w:val="24"/>
        </w:rPr>
        <w:t xml:space="preserve">, </w:t>
      </w:r>
      <w:r w:rsidRPr="00AA2623">
        <w:rPr>
          <w:rFonts w:ascii="Arial" w:hAnsi="Arial" w:cs="Arial"/>
          <w:i/>
          <w:iCs/>
          <w:sz w:val="24"/>
          <w:szCs w:val="24"/>
        </w:rPr>
        <w:t>"</w:t>
      </w:r>
      <w:r w:rsidR="00AA2623" w:rsidRPr="00AA2623">
        <w:rPr>
          <w:rFonts w:ascii="Arial" w:hAnsi="Arial" w:cs="Arial"/>
          <w:i/>
          <w:iCs/>
          <w:sz w:val="24"/>
          <w:szCs w:val="24"/>
        </w:rPr>
        <w:t>Salvo en los supuestos previstos en el artículo 59.1 de esta ley, las entidades locales deberán acordar la imposición y supresión de sus tributos propios, y aprobar las correspondientes ordenanzas fiscales reguladoras de estos.</w:t>
      </w:r>
      <w:r w:rsidRPr="00AA2623">
        <w:rPr>
          <w:rFonts w:ascii="Arial" w:hAnsi="Arial" w:cs="Arial"/>
          <w:i/>
          <w:iCs/>
          <w:sz w:val="24"/>
          <w:szCs w:val="24"/>
        </w:rPr>
        <w:t>".</w:t>
      </w:r>
    </w:p>
    <w:p w14:paraId="09A43567" w14:textId="01AB8CDD" w:rsidR="00AA2623" w:rsidRDefault="00AA2623" w:rsidP="00AA2623">
      <w:pPr>
        <w:spacing w:before="100" w:beforeAutospacing="1" w:after="100" w:afterAutospacing="1" w:line="360" w:lineRule="auto"/>
        <w:jc w:val="both"/>
        <w:rPr>
          <w:rFonts w:ascii="Arial" w:hAnsi="Arial" w:cs="Arial"/>
          <w:sz w:val="24"/>
          <w:szCs w:val="24"/>
        </w:rPr>
      </w:pPr>
      <w:r>
        <w:rPr>
          <w:rFonts w:ascii="Arial" w:hAnsi="Arial" w:cs="Arial"/>
          <w:sz w:val="24"/>
          <w:szCs w:val="24"/>
        </w:rPr>
        <w:t xml:space="preserve">La Ley deja claro que se trata de dos </w:t>
      </w:r>
      <w:r w:rsidRPr="00AA2623">
        <w:rPr>
          <w:rFonts w:ascii="Arial" w:hAnsi="Arial" w:cs="Arial"/>
          <w:sz w:val="24"/>
          <w:szCs w:val="24"/>
        </w:rPr>
        <w:t>actos jurídicamente distintos</w:t>
      </w:r>
      <w:r>
        <w:rPr>
          <w:rFonts w:ascii="Arial" w:hAnsi="Arial" w:cs="Arial"/>
          <w:sz w:val="24"/>
          <w:szCs w:val="24"/>
        </w:rPr>
        <w:t>, por un lado, el acuerdo de la imposición del tributo, es decir, de la tasa y</w:t>
      </w:r>
      <w:r w:rsidR="00792C3E">
        <w:rPr>
          <w:rFonts w:ascii="Arial" w:hAnsi="Arial" w:cs="Arial"/>
          <w:sz w:val="24"/>
          <w:szCs w:val="24"/>
        </w:rPr>
        <w:t>,</w:t>
      </w:r>
      <w:r>
        <w:rPr>
          <w:rFonts w:ascii="Arial" w:hAnsi="Arial" w:cs="Arial"/>
          <w:sz w:val="24"/>
          <w:szCs w:val="24"/>
        </w:rPr>
        <w:t xml:space="preserve"> por otro</w:t>
      </w:r>
      <w:r w:rsidR="00860D48">
        <w:rPr>
          <w:rFonts w:ascii="Arial" w:hAnsi="Arial" w:cs="Arial"/>
          <w:sz w:val="24"/>
          <w:szCs w:val="24"/>
        </w:rPr>
        <w:t>,</w:t>
      </w:r>
      <w:r>
        <w:rPr>
          <w:rFonts w:ascii="Arial" w:hAnsi="Arial" w:cs="Arial"/>
          <w:sz w:val="24"/>
          <w:szCs w:val="24"/>
        </w:rPr>
        <w:t xml:space="preserve"> la aprobación de la correspondiente ordenanza fiscal que regule y desarrolle dicho tributo.</w:t>
      </w:r>
    </w:p>
    <w:p w14:paraId="7A4E93CD" w14:textId="67D73FA5" w:rsidR="00AA2623" w:rsidRDefault="00AA2623" w:rsidP="00AA2623">
      <w:pPr>
        <w:spacing w:before="100" w:beforeAutospacing="1" w:after="100" w:afterAutospacing="1" w:line="360" w:lineRule="auto"/>
        <w:jc w:val="both"/>
        <w:rPr>
          <w:rFonts w:ascii="Arial" w:hAnsi="Arial" w:cs="Arial"/>
          <w:sz w:val="24"/>
          <w:szCs w:val="24"/>
        </w:rPr>
      </w:pPr>
      <w:r>
        <w:rPr>
          <w:rFonts w:ascii="Arial" w:hAnsi="Arial" w:cs="Arial"/>
          <w:sz w:val="24"/>
          <w:szCs w:val="24"/>
        </w:rPr>
        <w:t>La actual ordenanza no puede entenderse como una simple modificación formal, sino como una reconfiguración total del tributo, tal y como quedó patente en el informe emitido por el Servicio de Gestión de</w:t>
      </w:r>
      <w:r w:rsidRPr="00AA2623">
        <w:rPr>
          <w:rFonts w:ascii="Arial" w:hAnsi="Arial" w:cs="Arial"/>
          <w:sz w:val="24"/>
          <w:szCs w:val="24"/>
        </w:rPr>
        <w:t xml:space="preserve"> fecha 25/09/2025 </w:t>
      </w:r>
      <w:r w:rsidR="007A2F8F">
        <w:rPr>
          <w:rFonts w:ascii="Arial" w:hAnsi="Arial" w:cs="Arial"/>
          <w:sz w:val="24"/>
          <w:szCs w:val="24"/>
        </w:rPr>
        <w:t xml:space="preserve">donde </w:t>
      </w:r>
      <w:r w:rsidRPr="00AA2623">
        <w:rPr>
          <w:rFonts w:ascii="Arial" w:hAnsi="Arial" w:cs="Arial"/>
          <w:sz w:val="24"/>
          <w:szCs w:val="24"/>
        </w:rPr>
        <w:t>los técnicos del Área de Hacienda estiman que, pese a los profundos cambios operados en la ordenación de la tasa, que incluso han llevado a modificar el nombre de la exacción, para evitar tener que tramitar dos expedientes (el de supresión de la antigua tasa y el de establecimiento de la nueva), en aras de la economía procesal y para garantizar la posible reviviscencia de la anterior Ordenanza fiscal en caso de anulación judicial de la nueva ordenación tributaria (SIC), se ha estimado conveniente optar por omitir el preceptivo acuerdo de imposición dado que estamos ante una modificación de la Ordenanza fiscal previamente existente, la cual no se deroga íntegramente y, supuestamente, estaba amparada en un acuerdo previo de imposición de la tasa (aunque no se señala la fecha de dicho acuerdo, ni se identifica en qué diario oficial fu</w:t>
      </w:r>
      <w:r w:rsidR="00792C3E">
        <w:rPr>
          <w:rFonts w:ascii="Arial" w:hAnsi="Arial" w:cs="Arial"/>
          <w:sz w:val="24"/>
          <w:szCs w:val="24"/>
        </w:rPr>
        <w:t>e</w:t>
      </w:r>
      <w:r w:rsidRPr="00AA2623">
        <w:rPr>
          <w:rFonts w:ascii="Arial" w:hAnsi="Arial" w:cs="Arial"/>
          <w:sz w:val="24"/>
          <w:szCs w:val="24"/>
        </w:rPr>
        <w:t xml:space="preserve"> publicado)</w:t>
      </w:r>
      <w:r w:rsidR="00792C3E">
        <w:rPr>
          <w:rFonts w:ascii="Arial" w:hAnsi="Arial" w:cs="Arial"/>
          <w:sz w:val="24"/>
          <w:szCs w:val="24"/>
        </w:rPr>
        <w:t>.</w:t>
      </w:r>
    </w:p>
    <w:p w14:paraId="7FBA49D2" w14:textId="484E06ED" w:rsidR="007A2F8F" w:rsidRDefault="007A2F8F" w:rsidP="007A2F8F">
      <w:pPr>
        <w:spacing w:before="100" w:beforeAutospacing="1" w:after="100" w:afterAutospacing="1" w:line="360" w:lineRule="auto"/>
        <w:jc w:val="both"/>
        <w:rPr>
          <w:rFonts w:ascii="Arial" w:hAnsi="Arial" w:cs="Arial"/>
          <w:sz w:val="24"/>
          <w:szCs w:val="24"/>
        </w:rPr>
      </w:pPr>
      <w:r w:rsidRPr="007A2F8F">
        <w:rPr>
          <w:rFonts w:ascii="Arial" w:hAnsi="Arial" w:cs="Arial"/>
          <w:sz w:val="24"/>
          <w:szCs w:val="24"/>
        </w:rPr>
        <w:lastRenderedPageBreak/>
        <w:t xml:space="preserve">Lo que es incuestionable es que la </w:t>
      </w:r>
      <w:r>
        <w:rPr>
          <w:rFonts w:ascii="Arial" w:hAnsi="Arial" w:cs="Arial"/>
          <w:sz w:val="24"/>
          <w:szCs w:val="24"/>
        </w:rPr>
        <w:t>modificación</w:t>
      </w:r>
      <w:r w:rsidRPr="007A2F8F">
        <w:rPr>
          <w:rFonts w:ascii="Arial" w:hAnsi="Arial" w:cs="Arial"/>
          <w:sz w:val="24"/>
          <w:szCs w:val="24"/>
        </w:rPr>
        <w:t xml:space="preserve"> aprobada no constituye una simple actualización de tarifas o ajuste técnico, sino una auténtica reestructuración integral del tributo hasta ahora aplicado, </w:t>
      </w:r>
      <w:r>
        <w:rPr>
          <w:rFonts w:ascii="Arial" w:hAnsi="Arial" w:cs="Arial"/>
          <w:sz w:val="24"/>
          <w:szCs w:val="24"/>
        </w:rPr>
        <w:t>hecho que también señala la Asesoría Jurídica del Ayuntamiento en su informe</w:t>
      </w:r>
      <w:r w:rsidRPr="007A2F8F">
        <w:rPr>
          <w:rFonts w:ascii="Arial" w:hAnsi="Arial" w:cs="Arial"/>
          <w:sz w:val="24"/>
          <w:szCs w:val="24"/>
        </w:rPr>
        <w:t xml:space="preserve"> de fecha 19/08/2025</w:t>
      </w:r>
      <w:r>
        <w:rPr>
          <w:rFonts w:ascii="Arial" w:hAnsi="Arial" w:cs="Arial"/>
          <w:sz w:val="24"/>
          <w:szCs w:val="24"/>
        </w:rPr>
        <w:t>.</w:t>
      </w:r>
    </w:p>
    <w:p w14:paraId="7C894C2B" w14:textId="324C3EBB" w:rsidR="007A2F8F" w:rsidRPr="007A2F8F" w:rsidRDefault="007A2F8F" w:rsidP="007A2F8F">
      <w:pPr>
        <w:spacing w:before="100" w:beforeAutospacing="1" w:after="100" w:afterAutospacing="1" w:line="360" w:lineRule="auto"/>
        <w:jc w:val="both"/>
        <w:rPr>
          <w:rFonts w:ascii="Arial" w:hAnsi="Arial" w:cs="Arial"/>
          <w:sz w:val="24"/>
          <w:szCs w:val="24"/>
        </w:rPr>
      </w:pPr>
      <w:r>
        <w:rPr>
          <w:rFonts w:ascii="Arial" w:hAnsi="Arial" w:cs="Arial"/>
          <w:sz w:val="24"/>
          <w:szCs w:val="24"/>
        </w:rPr>
        <w:t>El</w:t>
      </w:r>
      <w:r w:rsidRPr="007A2F8F">
        <w:rPr>
          <w:rFonts w:ascii="Arial" w:hAnsi="Arial" w:cs="Arial"/>
          <w:sz w:val="24"/>
          <w:szCs w:val="24"/>
        </w:rPr>
        <w:t xml:space="preserve"> texto de la Ordenanza fiscal en vigor antes </w:t>
      </w:r>
      <w:r w:rsidR="00792C3E">
        <w:rPr>
          <w:rFonts w:ascii="Arial" w:hAnsi="Arial" w:cs="Arial"/>
          <w:sz w:val="24"/>
          <w:szCs w:val="24"/>
        </w:rPr>
        <w:t xml:space="preserve">de </w:t>
      </w:r>
      <w:r w:rsidRPr="007A2F8F">
        <w:rPr>
          <w:rFonts w:ascii="Arial" w:hAnsi="Arial" w:cs="Arial"/>
          <w:sz w:val="24"/>
          <w:szCs w:val="24"/>
        </w:rPr>
        <w:t xml:space="preserve">la </w:t>
      </w:r>
      <w:r w:rsidR="00792C3E">
        <w:rPr>
          <w:rFonts w:ascii="Arial" w:hAnsi="Arial" w:cs="Arial"/>
          <w:sz w:val="24"/>
          <w:szCs w:val="24"/>
        </w:rPr>
        <w:t xml:space="preserve">actual </w:t>
      </w:r>
      <w:r w:rsidR="00860D48" w:rsidRPr="007A2F8F">
        <w:rPr>
          <w:rFonts w:ascii="Arial" w:hAnsi="Arial" w:cs="Arial"/>
          <w:sz w:val="24"/>
          <w:szCs w:val="24"/>
        </w:rPr>
        <w:t>modificación</w:t>
      </w:r>
      <w:r>
        <w:rPr>
          <w:rFonts w:ascii="Arial" w:hAnsi="Arial" w:cs="Arial"/>
          <w:sz w:val="24"/>
          <w:szCs w:val="24"/>
        </w:rPr>
        <w:t xml:space="preserve"> establecía un sistema</w:t>
      </w:r>
      <w:r w:rsidRPr="007A2F8F">
        <w:rPr>
          <w:rFonts w:ascii="Arial" w:hAnsi="Arial" w:cs="Arial"/>
          <w:sz w:val="24"/>
          <w:szCs w:val="24"/>
        </w:rPr>
        <w:t xml:space="preserve"> de determinación de la cuota tributaria basado en tarifas por vivienda y en tarifas por actividades económicas estructuradas en función de superficie, epígrafes y coeficientes, con un anexo de tarifas incorporado como parte esencial del régimen jurídico del tributo.</w:t>
      </w:r>
    </w:p>
    <w:p w14:paraId="03D10166" w14:textId="320F56F0" w:rsidR="007A2F8F" w:rsidRDefault="007A2F8F" w:rsidP="007A2F8F">
      <w:pPr>
        <w:spacing w:before="100" w:beforeAutospacing="1" w:after="100" w:afterAutospacing="1" w:line="360" w:lineRule="auto"/>
        <w:jc w:val="both"/>
        <w:rPr>
          <w:rFonts w:ascii="Arial" w:hAnsi="Arial" w:cs="Arial"/>
          <w:sz w:val="24"/>
          <w:szCs w:val="24"/>
        </w:rPr>
      </w:pPr>
      <w:r>
        <w:rPr>
          <w:rFonts w:ascii="Arial" w:hAnsi="Arial" w:cs="Arial"/>
          <w:sz w:val="24"/>
          <w:szCs w:val="24"/>
        </w:rPr>
        <w:t>La actual</w:t>
      </w:r>
      <w:r w:rsidRPr="007A2F8F">
        <w:rPr>
          <w:rFonts w:ascii="Arial" w:hAnsi="Arial" w:cs="Arial"/>
          <w:sz w:val="24"/>
          <w:szCs w:val="24"/>
        </w:rPr>
        <w:t xml:space="preserve"> </w:t>
      </w:r>
      <w:r w:rsidR="00792C3E">
        <w:rPr>
          <w:rFonts w:ascii="Arial" w:hAnsi="Arial" w:cs="Arial"/>
          <w:sz w:val="24"/>
          <w:szCs w:val="24"/>
        </w:rPr>
        <w:t xml:space="preserve">modificación de la </w:t>
      </w:r>
      <w:r w:rsidRPr="007A2F8F">
        <w:rPr>
          <w:rFonts w:ascii="Arial" w:hAnsi="Arial" w:cs="Arial"/>
          <w:sz w:val="24"/>
          <w:szCs w:val="24"/>
        </w:rPr>
        <w:t>Ordenanza aprobada definitivamente el 19 de diciembre de 2025</w:t>
      </w:r>
      <w:r>
        <w:rPr>
          <w:rFonts w:ascii="Arial" w:hAnsi="Arial" w:cs="Arial"/>
          <w:sz w:val="24"/>
          <w:szCs w:val="24"/>
        </w:rPr>
        <w:t xml:space="preserve"> </w:t>
      </w:r>
      <w:r w:rsidRPr="007A2F8F">
        <w:rPr>
          <w:rFonts w:ascii="Arial" w:hAnsi="Arial" w:cs="Arial"/>
          <w:sz w:val="24"/>
          <w:szCs w:val="24"/>
        </w:rPr>
        <w:t>introduce un nuevo diseño adaptado expresamente al marco de la Ley 7/2022, de 8 de abril, de residuos y suelos contaminados para una economía circular, incorporando un modelo de cuantificación basado en criterios de capacidad económica y de generación potencial de residuos, con un rediseño completo del sistema de tarifas, beneficios fiscales y estructura de capítulos.</w:t>
      </w:r>
    </w:p>
    <w:p w14:paraId="7B115F09" w14:textId="77777777" w:rsidR="00792C3E" w:rsidRDefault="007A2F8F" w:rsidP="000E5331">
      <w:pPr>
        <w:spacing w:before="100" w:beforeAutospacing="1" w:after="100" w:afterAutospacing="1" w:line="360" w:lineRule="auto"/>
        <w:jc w:val="both"/>
        <w:rPr>
          <w:rFonts w:ascii="Arial" w:hAnsi="Arial" w:cs="Arial"/>
          <w:sz w:val="24"/>
          <w:szCs w:val="24"/>
        </w:rPr>
      </w:pPr>
      <w:r>
        <w:rPr>
          <w:rFonts w:ascii="Arial" w:hAnsi="Arial" w:cs="Arial"/>
          <w:sz w:val="24"/>
          <w:szCs w:val="24"/>
        </w:rPr>
        <w:t>Por lo tanto</w:t>
      </w:r>
      <w:r w:rsidR="000E5331">
        <w:rPr>
          <w:rFonts w:ascii="Arial" w:hAnsi="Arial" w:cs="Arial"/>
          <w:sz w:val="24"/>
          <w:szCs w:val="24"/>
        </w:rPr>
        <w:t>, estamos en un supuesto donde</w:t>
      </w:r>
      <w:r w:rsidR="000E5331" w:rsidRPr="000E5331">
        <w:rPr>
          <w:rFonts w:ascii="Arial" w:hAnsi="Arial" w:cs="Arial"/>
          <w:sz w:val="24"/>
          <w:szCs w:val="24"/>
        </w:rPr>
        <w:t xml:space="preserve"> la nueva ordenación afecta a elementos estructurales del tributo,</w:t>
      </w:r>
      <w:r w:rsidR="000E5331">
        <w:rPr>
          <w:rFonts w:ascii="Arial" w:hAnsi="Arial" w:cs="Arial"/>
          <w:sz w:val="24"/>
          <w:szCs w:val="24"/>
        </w:rPr>
        <w:t xml:space="preserve"> por lo que</w:t>
      </w:r>
      <w:r w:rsidR="000E5331" w:rsidRPr="000E5331">
        <w:rPr>
          <w:rFonts w:ascii="Arial" w:hAnsi="Arial" w:cs="Arial"/>
          <w:sz w:val="24"/>
          <w:szCs w:val="24"/>
        </w:rPr>
        <w:t xml:space="preserve"> resulta exigible un</w:t>
      </w:r>
      <w:r w:rsidR="00792C3E">
        <w:rPr>
          <w:rFonts w:ascii="Arial" w:hAnsi="Arial" w:cs="Arial"/>
          <w:sz w:val="24"/>
          <w:szCs w:val="24"/>
        </w:rPr>
        <w:t xml:space="preserve"> nuevo</w:t>
      </w:r>
      <w:r w:rsidR="000E5331" w:rsidRPr="000E5331">
        <w:rPr>
          <w:rFonts w:ascii="Arial" w:hAnsi="Arial" w:cs="Arial"/>
          <w:sz w:val="24"/>
          <w:szCs w:val="24"/>
        </w:rPr>
        <w:t xml:space="preserve"> acuerdo plenario de imposición o, al menos, un acuerdo simultáneo expreso e inequívoco que declare el establecimiento de la tasa en su nueva configuración</w:t>
      </w:r>
      <w:r w:rsidR="00792C3E">
        <w:rPr>
          <w:rFonts w:ascii="Arial" w:hAnsi="Arial" w:cs="Arial"/>
          <w:sz w:val="24"/>
          <w:szCs w:val="24"/>
        </w:rPr>
        <w:t>.</w:t>
      </w:r>
    </w:p>
    <w:p w14:paraId="69928334" w14:textId="11870836" w:rsidR="007A2F8F" w:rsidRPr="007A2F8F" w:rsidRDefault="00792C3E" w:rsidP="000E5331">
      <w:pPr>
        <w:spacing w:before="100" w:beforeAutospacing="1" w:after="100" w:afterAutospacing="1" w:line="360" w:lineRule="auto"/>
        <w:jc w:val="both"/>
        <w:rPr>
          <w:rFonts w:ascii="Arial" w:hAnsi="Arial" w:cs="Arial"/>
          <w:sz w:val="24"/>
          <w:szCs w:val="24"/>
        </w:rPr>
      </w:pPr>
      <w:r>
        <w:rPr>
          <w:rFonts w:ascii="Arial" w:hAnsi="Arial" w:cs="Arial"/>
          <w:sz w:val="24"/>
          <w:szCs w:val="24"/>
        </w:rPr>
        <w:t xml:space="preserve">El actual acuerdo de imposición del tributo data del 17 de agosto de 1946 y se </w:t>
      </w:r>
      <w:r w:rsidR="00794299">
        <w:rPr>
          <w:rFonts w:ascii="Arial" w:hAnsi="Arial" w:cs="Arial"/>
          <w:sz w:val="24"/>
          <w:szCs w:val="24"/>
        </w:rPr>
        <w:t>corresponde con</w:t>
      </w:r>
      <w:r>
        <w:rPr>
          <w:rFonts w:ascii="Arial" w:hAnsi="Arial" w:cs="Arial"/>
          <w:sz w:val="24"/>
          <w:szCs w:val="24"/>
        </w:rPr>
        <w:t xml:space="preserve"> la aprobación de la </w:t>
      </w:r>
      <w:r w:rsidR="00794299">
        <w:rPr>
          <w:rFonts w:ascii="Arial" w:hAnsi="Arial" w:cs="Arial"/>
          <w:sz w:val="24"/>
          <w:szCs w:val="24"/>
        </w:rPr>
        <w:t>“</w:t>
      </w:r>
      <w:r>
        <w:rPr>
          <w:rFonts w:ascii="Arial" w:hAnsi="Arial" w:cs="Arial"/>
          <w:sz w:val="24"/>
          <w:szCs w:val="24"/>
        </w:rPr>
        <w:t xml:space="preserve">Ordenanza de Derechos y Tasas </w:t>
      </w:r>
      <w:r w:rsidR="00794299">
        <w:rPr>
          <w:rFonts w:ascii="Arial" w:hAnsi="Arial" w:cs="Arial"/>
          <w:sz w:val="24"/>
          <w:szCs w:val="24"/>
        </w:rPr>
        <w:t>por prestación de servicios de recogida de basuras a domicilios particulares”, acuerdo de imposición que pretende amparar la cobertura formal del tributo actual en un marco normativo, el del año 1946, absolutamente ajeno al actual sistema de fuentes tributarias.</w:t>
      </w:r>
    </w:p>
    <w:p w14:paraId="0AAA3EAF" w14:textId="19C99A02" w:rsidR="000E5331" w:rsidRDefault="000E5331" w:rsidP="000E5331">
      <w:pPr>
        <w:spacing w:before="100" w:beforeAutospacing="1" w:after="100" w:afterAutospacing="1" w:line="360" w:lineRule="auto"/>
        <w:jc w:val="both"/>
        <w:rPr>
          <w:rFonts w:ascii="Arial" w:hAnsi="Arial" w:cs="Arial"/>
          <w:sz w:val="24"/>
          <w:szCs w:val="24"/>
        </w:rPr>
      </w:pPr>
      <w:proofErr w:type="gramStart"/>
      <w:r>
        <w:rPr>
          <w:rFonts w:ascii="Arial" w:hAnsi="Arial" w:cs="Arial"/>
          <w:b/>
          <w:bCs/>
          <w:sz w:val="24"/>
          <w:szCs w:val="24"/>
        </w:rPr>
        <w:t>TERCERA</w:t>
      </w:r>
      <w:r w:rsidR="00F5670E" w:rsidRPr="000E5471">
        <w:rPr>
          <w:rFonts w:ascii="Arial" w:hAnsi="Arial" w:cs="Arial"/>
          <w:b/>
          <w:bCs/>
          <w:sz w:val="24"/>
          <w:szCs w:val="24"/>
        </w:rPr>
        <w:t>.-</w:t>
      </w:r>
      <w:proofErr w:type="gramEnd"/>
      <w:r w:rsidR="00F5670E">
        <w:rPr>
          <w:rFonts w:ascii="Arial" w:hAnsi="Arial" w:cs="Arial"/>
          <w:sz w:val="24"/>
          <w:szCs w:val="24"/>
        </w:rPr>
        <w:t xml:space="preserve"> </w:t>
      </w:r>
      <w:r w:rsidRPr="000E5331">
        <w:rPr>
          <w:rFonts w:ascii="Arial" w:hAnsi="Arial" w:cs="Arial"/>
          <w:sz w:val="24"/>
          <w:szCs w:val="24"/>
        </w:rPr>
        <w:t>SOBRE LA INSUFICIENCIA DEL ESTUDIO ECONÓMICO- FINANCIERO Y LA VULNERACIÓN DEL PRINCIPIO DE EQUIVALENCIA (ARTS. 24 Y 25 TRLRHL; ART. 11.3 LEY 7/2022).</w:t>
      </w:r>
    </w:p>
    <w:p w14:paraId="175B247E" w14:textId="3C0AEF6A" w:rsidR="000E5331" w:rsidRDefault="000E5331" w:rsidP="000E5331">
      <w:pPr>
        <w:spacing w:before="100" w:beforeAutospacing="1" w:after="100" w:afterAutospacing="1" w:line="360" w:lineRule="auto"/>
        <w:jc w:val="both"/>
        <w:rPr>
          <w:rFonts w:ascii="Arial" w:hAnsi="Arial" w:cs="Arial"/>
          <w:sz w:val="24"/>
          <w:szCs w:val="24"/>
        </w:rPr>
      </w:pPr>
      <w:r w:rsidRPr="000E5331">
        <w:rPr>
          <w:rFonts w:ascii="Arial" w:hAnsi="Arial" w:cs="Arial"/>
          <w:sz w:val="24"/>
          <w:szCs w:val="24"/>
        </w:rPr>
        <w:t xml:space="preserve">El artículo 24.2 del Texto Refundido de la Ley Reguladora de las Haciendas Locales (TRLRHL) establece que el importe de las tasas por la prestación de un servicio o la realización de una actividad no podrá exceder, en su conjunto, del coste real o </w:t>
      </w:r>
      <w:r w:rsidRPr="000E5331">
        <w:rPr>
          <w:rFonts w:ascii="Arial" w:hAnsi="Arial" w:cs="Arial"/>
          <w:sz w:val="24"/>
          <w:szCs w:val="24"/>
        </w:rPr>
        <w:lastRenderedPageBreak/>
        <w:t>previsible del servicio o actividad de que se trate. Por su parte, el artículo 25 TRLRHL exige que las Ordenanzas fiscales se aprueben con la correspondiente Memoria Económico-Financiera que justifique la determinación de los costes, la cuantificación de la exacción y la correspondencia entre el coste real o previsible del servicio y la tarifa o cuota resultante.</w:t>
      </w:r>
    </w:p>
    <w:p w14:paraId="41F3C111" w14:textId="1C109B90" w:rsidR="000E5331" w:rsidRDefault="000E5331" w:rsidP="000E5331">
      <w:pPr>
        <w:spacing w:before="100" w:beforeAutospacing="1" w:after="100" w:afterAutospacing="1" w:line="360" w:lineRule="auto"/>
        <w:jc w:val="both"/>
        <w:rPr>
          <w:rFonts w:ascii="Arial" w:hAnsi="Arial" w:cs="Arial"/>
          <w:sz w:val="24"/>
          <w:szCs w:val="24"/>
        </w:rPr>
      </w:pPr>
      <w:r>
        <w:rPr>
          <w:rFonts w:ascii="Arial" w:hAnsi="Arial" w:cs="Arial"/>
          <w:sz w:val="24"/>
          <w:szCs w:val="24"/>
        </w:rPr>
        <w:t>La</w:t>
      </w:r>
      <w:r w:rsidRPr="000E5331">
        <w:rPr>
          <w:rFonts w:ascii="Arial" w:hAnsi="Arial" w:cs="Arial"/>
          <w:sz w:val="24"/>
          <w:szCs w:val="24"/>
        </w:rPr>
        <w:t xml:space="preserve"> Memoria Económico-Financiera no constituye un mero documento auxiliar o explicativo del expediente de aprobación de una ordenanza fiscal, sino un instrumento jurídico esencial del procedimiento de establecimiento y ordenación de las tasas, cuya finalidad es permitir verificar el cumplimiento del principio de equivalencia entre el coste del servicio y la cuantía exigida a los obligados al pago</w:t>
      </w:r>
      <w:r>
        <w:rPr>
          <w:rFonts w:ascii="Arial" w:hAnsi="Arial" w:cs="Arial"/>
          <w:sz w:val="24"/>
          <w:szCs w:val="24"/>
        </w:rPr>
        <w:t>.</w:t>
      </w:r>
    </w:p>
    <w:p w14:paraId="1CA65DD3" w14:textId="62CA77A9" w:rsidR="000E5331" w:rsidRDefault="000E5331" w:rsidP="000E5331">
      <w:pPr>
        <w:spacing w:before="100" w:beforeAutospacing="1" w:after="100" w:afterAutospacing="1" w:line="360" w:lineRule="auto"/>
        <w:jc w:val="both"/>
        <w:rPr>
          <w:rFonts w:ascii="Arial" w:hAnsi="Arial" w:cs="Arial"/>
          <w:sz w:val="24"/>
          <w:szCs w:val="24"/>
        </w:rPr>
      </w:pPr>
      <w:r>
        <w:rPr>
          <w:rFonts w:ascii="Arial" w:hAnsi="Arial" w:cs="Arial"/>
          <w:sz w:val="24"/>
          <w:szCs w:val="24"/>
        </w:rPr>
        <w:t>Es</w:t>
      </w:r>
      <w:r w:rsidRPr="000E5331">
        <w:rPr>
          <w:rFonts w:ascii="Arial" w:hAnsi="Arial" w:cs="Arial"/>
          <w:sz w:val="24"/>
          <w:szCs w:val="24"/>
        </w:rPr>
        <w:t xml:space="preserve"> necesario disponer de un estudio o memoria económico-financiera en el que, entre otros aspectos, debe determinarse de manera objetiva y suficientemente motivada el coste del servicio de gestión de residuos, de tal manera que permita verificar que la cuantía de la exacción impuesta se aproxima lo máximo posible al coste real del servicio financiado (principio de equivalencia</w:t>
      </w:r>
      <w:r>
        <w:rPr>
          <w:rFonts w:ascii="Arial" w:hAnsi="Arial" w:cs="Arial"/>
          <w:sz w:val="24"/>
          <w:szCs w:val="24"/>
        </w:rPr>
        <w:t>)</w:t>
      </w:r>
      <w:r w:rsidR="00794299">
        <w:rPr>
          <w:rFonts w:ascii="Arial" w:hAnsi="Arial" w:cs="Arial"/>
          <w:sz w:val="24"/>
          <w:szCs w:val="24"/>
        </w:rPr>
        <w:t>.</w:t>
      </w:r>
    </w:p>
    <w:p w14:paraId="12C29F7B" w14:textId="5045B10F" w:rsidR="00190C3D" w:rsidRDefault="000E5331" w:rsidP="000E5331">
      <w:pPr>
        <w:spacing w:before="100" w:beforeAutospacing="1" w:after="100" w:afterAutospacing="1" w:line="360" w:lineRule="auto"/>
        <w:jc w:val="both"/>
        <w:rPr>
          <w:rFonts w:ascii="Arial" w:hAnsi="Arial" w:cs="Arial"/>
          <w:sz w:val="24"/>
          <w:szCs w:val="24"/>
        </w:rPr>
      </w:pPr>
      <w:r>
        <w:rPr>
          <w:rFonts w:ascii="Arial" w:hAnsi="Arial" w:cs="Arial"/>
          <w:sz w:val="24"/>
          <w:szCs w:val="24"/>
        </w:rPr>
        <w:t>La</w:t>
      </w:r>
      <w:r w:rsidR="00F5670E">
        <w:rPr>
          <w:rFonts w:ascii="Arial" w:hAnsi="Arial" w:cs="Arial"/>
          <w:sz w:val="24"/>
          <w:szCs w:val="24"/>
        </w:rPr>
        <w:t xml:space="preserve"> tasa aplicada se basa en un estudio económico-financiero que vulnera el régimen jurídico para la determinación del coste real del servicio y del principio de equivalencia, puesto que la Memoria Económico-Financiera que lo sustenta</w:t>
      </w:r>
      <w:r w:rsidR="00190C3D">
        <w:rPr>
          <w:rFonts w:ascii="Arial" w:hAnsi="Arial" w:cs="Arial"/>
          <w:sz w:val="24"/>
          <w:szCs w:val="24"/>
        </w:rPr>
        <w:t>, adolece</w:t>
      </w:r>
      <w:r w:rsidR="00010DF0">
        <w:rPr>
          <w:rFonts w:ascii="Arial" w:hAnsi="Arial" w:cs="Arial"/>
          <w:sz w:val="24"/>
          <w:szCs w:val="24"/>
        </w:rPr>
        <w:t>, entre otros</w:t>
      </w:r>
      <w:r>
        <w:rPr>
          <w:rFonts w:ascii="Arial" w:hAnsi="Arial" w:cs="Arial"/>
          <w:sz w:val="24"/>
          <w:szCs w:val="24"/>
        </w:rPr>
        <w:t xml:space="preserve"> aspectos</w:t>
      </w:r>
      <w:r w:rsidR="00010DF0">
        <w:rPr>
          <w:rFonts w:ascii="Arial" w:hAnsi="Arial" w:cs="Arial"/>
          <w:sz w:val="24"/>
          <w:szCs w:val="24"/>
        </w:rPr>
        <w:t>,</w:t>
      </w:r>
      <w:r w:rsidR="00190C3D">
        <w:rPr>
          <w:rFonts w:ascii="Arial" w:hAnsi="Arial" w:cs="Arial"/>
          <w:sz w:val="24"/>
          <w:szCs w:val="24"/>
        </w:rPr>
        <w:t xml:space="preserve"> de lo</w:t>
      </w:r>
      <w:r>
        <w:rPr>
          <w:rFonts w:ascii="Arial" w:hAnsi="Arial" w:cs="Arial"/>
          <w:sz w:val="24"/>
          <w:szCs w:val="24"/>
        </w:rPr>
        <w:t>s</w:t>
      </w:r>
      <w:r w:rsidR="00190C3D">
        <w:rPr>
          <w:rFonts w:ascii="Arial" w:hAnsi="Arial" w:cs="Arial"/>
          <w:sz w:val="24"/>
          <w:szCs w:val="24"/>
        </w:rPr>
        <w:t xml:space="preserve"> siguiente</w:t>
      </w:r>
      <w:r>
        <w:rPr>
          <w:rFonts w:ascii="Arial" w:hAnsi="Arial" w:cs="Arial"/>
          <w:sz w:val="24"/>
          <w:szCs w:val="24"/>
        </w:rPr>
        <w:t>s</w:t>
      </w:r>
      <w:r w:rsidR="00190C3D">
        <w:rPr>
          <w:rFonts w:ascii="Arial" w:hAnsi="Arial" w:cs="Arial"/>
          <w:sz w:val="24"/>
          <w:szCs w:val="24"/>
        </w:rPr>
        <w:t>:</w:t>
      </w:r>
    </w:p>
    <w:p w14:paraId="6D26D9E4" w14:textId="07D919E0" w:rsidR="003A1915" w:rsidRDefault="003A1915" w:rsidP="00AB33D2">
      <w:pPr>
        <w:pStyle w:val="Prrafodelista"/>
        <w:numPr>
          <w:ilvl w:val="0"/>
          <w:numId w:val="1"/>
        </w:numPr>
        <w:spacing w:before="100" w:beforeAutospacing="1" w:after="100" w:afterAutospacing="1" w:line="360" w:lineRule="auto"/>
        <w:jc w:val="both"/>
        <w:rPr>
          <w:rFonts w:ascii="Arial" w:hAnsi="Arial" w:cs="Arial"/>
          <w:sz w:val="24"/>
          <w:szCs w:val="24"/>
        </w:rPr>
      </w:pPr>
      <w:r>
        <w:rPr>
          <w:rFonts w:ascii="Arial" w:hAnsi="Arial" w:cs="Arial"/>
          <w:sz w:val="24"/>
          <w:szCs w:val="24"/>
        </w:rPr>
        <w:t>El coste del servicio de recogida de residuos, se basa en un informe de Servicios Públicos donde se dice que a este servicio le corresponde un porcentaje total del 32,61% del contrato de Valoriza (limpieza viaria y recogida de residuos) que no ofrece mayor fundamento ni explicación de donde se obtiene ni se puede constatar que los costes relativos a personal indirecto, costes relativos a vehículos, maquinaria y equipos, instalaciones, herramientas o gastos varios o estructurales, se correspondan fehaciente</w:t>
      </w:r>
      <w:r w:rsidR="00860D48">
        <w:rPr>
          <w:rFonts w:ascii="Arial" w:hAnsi="Arial" w:cs="Arial"/>
          <w:sz w:val="24"/>
          <w:szCs w:val="24"/>
        </w:rPr>
        <w:t>mente</w:t>
      </w:r>
      <w:r>
        <w:rPr>
          <w:rFonts w:ascii="Arial" w:hAnsi="Arial" w:cs="Arial"/>
          <w:sz w:val="24"/>
          <w:szCs w:val="24"/>
        </w:rPr>
        <w:t xml:space="preserve"> o estén imputados efectivamente al servicio de recogida de residuos.</w:t>
      </w:r>
    </w:p>
    <w:p w14:paraId="5EA15382" w14:textId="58B34798" w:rsidR="00AB33D2" w:rsidRPr="00AB33D2" w:rsidRDefault="003A1915" w:rsidP="00AB33D2">
      <w:pPr>
        <w:pStyle w:val="Prrafodelista"/>
        <w:numPr>
          <w:ilvl w:val="0"/>
          <w:numId w:val="1"/>
        </w:numPr>
        <w:spacing w:before="100" w:beforeAutospacing="1" w:after="100" w:afterAutospacing="1" w:line="360" w:lineRule="auto"/>
        <w:jc w:val="both"/>
        <w:rPr>
          <w:rFonts w:ascii="Arial" w:hAnsi="Arial" w:cs="Arial"/>
          <w:sz w:val="24"/>
          <w:szCs w:val="24"/>
        </w:rPr>
      </w:pPr>
      <w:r>
        <w:rPr>
          <w:rFonts w:ascii="Arial" w:hAnsi="Arial" w:cs="Arial"/>
          <w:sz w:val="24"/>
          <w:szCs w:val="24"/>
        </w:rPr>
        <w:t>La Memori</w:t>
      </w:r>
      <w:r w:rsidR="00860D48">
        <w:rPr>
          <w:rFonts w:ascii="Arial" w:hAnsi="Arial" w:cs="Arial"/>
          <w:sz w:val="24"/>
          <w:szCs w:val="24"/>
        </w:rPr>
        <w:t>a</w:t>
      </w:r>
      <w:r>
        <w:rPr>
          <w:rFonts w:ascii="Arial" w:hAnsi="Arial" w:cs="Arial"/>
          <w:sz w:val="24"/>
          <w:szCs w:val="24"/>
        </w:rPr>
        <w:t xml:space="preserve"> s</w:t>
      </w:r>
      <w:r w:rsidR="00F5670E" w:rsidRPr="00AB33D2">
        <w:rPr>
          <w:rFonts w:ascii="Arial" w:hAnsi="Arial" w:cs="Arial"/>
          <w:sz w:val="24"/>
          <w:szCs w:val="24"/>
        </w:rPr>
        <w:t>e fundamente en criterios estimativos y comparativos ajenos al municipio de Santa Cruz,</w:t>
      </w:r>
      <w:r w:rsidR="00190C3D" w:rsidRPr="00AB33D2">
        <w:rPr>
          <w:rFonts w:ascii="Arial" w:hAnsi="Arial" w:cs="Arial"/>
          <w:sz w:val="24"/>
          <w:szCs w:val="24"/>
        </w:rPr>
        <w:t xml:space="preserve"> </w:t>
      </w:r>
      <w:r w:rsidR="00AB33D2" w:rsidRPr="00AB33D2">
        <w:rPr>
          <w:rFonts w:ascii="Arial" w:hAnsi="Arial" w:cs="Arial"/>
          <w:sz w:val="24"/>
          <w:szCs w:val="24"/>
        </w:rPr>
        <w:t>para la fijación del coste del servicio, se incorporan a la Memoria, como coste real del servicio, d</w:t>
      </w:r>
      <w:r w:rsidR="00190C3D" w:rsidRPr="00AB33D2">
        <w:rPr>
          <w:rFonts w:ascii="Arial" w:hAnsi="Arial" w:cs="Arial"/>
          <w:sz w:val="24"/>
          <w:szCs w:val="24"/>
        </w:rPr>
        <w:t>atos del estudio económico-financiero del Ayuntamiento de</w:t>
      </w:r>
      <w:r>
        <w:rPr>
          <w:rFonts w:ascii="Arial" w:hAnsi="Arial" w:cs="Arial"/>
          <w:sz w:val="24"/>
          <w:szCs w:val="24"/>
        </w:rPr>
        <w:t xml:space="preserve"> San Cristóbal de</w:t>
      </w:r>
      <w:r w:rsidR="00190C3D" w:rsidRPr="00AB33D2">
        <w:rPr>
          <w:rFonts w:ascii="Arial" w:hAnsi="Arial" w:cs="Arial"/>
          <w:sz w:val="24"/>
          <w:szCs w:val="24"/>
        </w:rPr>
        <w:t xml:space="preserve"> La Laguna</w:t>
      </w:r>
      <w:r>
        <w:rPr>
          <w:rFonts w:ascii="Arial" w:hAnsi="Arial" w:cs="Arial"/>
          <w:sz w:val="24"/>
          <w:szCs w:val="24"/>
        </w:rPr>
        <w:t xml:space="preserve"> como son los </w:t>
      </w:r>
      <w:r>
        <w:rPr>
          <w:rFonts w:ascii="Arial" w:hAnsi="Arial" w:cs="Arial"/>
          <w:sz w:val="24"/>
          <w:szCs w:val="24"/>
        </w:rPr>
        <w:lastRenderedPageBreak/>
        <w:t>costes de personal (aun tratándose de administraciones con estructuras de personal totalmente diferentes) como son los costes de los gastos corrientes, que se obtienen mediante extrapolación de los datos del Ayuntamiento de San Cristóbal de La Laguna</w:t>
      </w:r>
      <w:r w:rsidR="00AB33D2" w:rsidRPr="00AB33D2">
        <w:rPr>
          <w:rFonts w:ascii="Arial" w:hAnsi="Arial" w:cs="Arial"/>
          <w:sz w:val="24"/>
          <w:szCs w:val="24"/>
        </w:rPr>
        <w:t>, aduciendo por los servicios municipales</w:t>
      </w:r>
      <w:r>
        <w:rPr>
          <w:rFonts w:ascii="Arial" w:hAnsi="Arial" w:cs="Arial"/>
          <w:sz w:val="24"/>
          <w:szCs w:val="24"/>
        </w:rPr>
        <w:t xml:space="preserve"> de Santa Cruz,</w:t>
      </w:r>
      <w:r w:rsidR="00AB33D2" w:rsidRPr="00AB33D2">
        <w:rPr>
          <w:rFonts w:ascii="Arial" w:hAnsi="Arial" w:cs="Arial"/>
          <w:sz w:val="24"/>
          <w:szCs w:val="24"/>
        </w:rPr>
        <w:t xml:space="preserve"> causas de complejidad técnica y la falta de tiempo suficiente para elaborar un estudio de costes propio lo que de</w:t>
      </w:r>
      <w:r w:rsidR="00AB33D2">
        <w:rPr>
          <w:rFonts w:ascii="Arial" w:hAnsi="Arial" w:cs="Arial"/>
          <w:sz w:val="24"/>
          <w:szCs w:val="24"/>
        </w:rPr>
        <w:t>n</w:t>
      </w:r>
      <w:r w:rsidR="00AB33D2" w:rsidRPr="00AB33D2">
        <w:rPr>
          <w:rFonts w:ascii="Arial" w:hAnsi="Arial" w:cs="Arial"/>
          <w:sz w:val="24"/>
          <w:szCs w:val="24"/>
        </w:rPr>
        <w:t xml:space="preserve">ota la falta de rigor técnico del informe de </w:t>
      </w:r>
      <w:r w:rsidR="00AB33D2">
        <w:rPr>
          <w:rFonts w:ascii="Arial" w:hAnsi="Arial" w:cs="Arial"/>
          <w:sz w:val="24"/>
          <w:szCs w:val="24"/>
        </w:rPr>
        <w:t>determinación de los costes del servicio</w:t>
      </w:r>
      <w:r w:rsidR="00D345D3">
        <w:rPr>
          <w:rFonts w:ascii="Arial" w:hAnsi="Arial" w:cs="Arial"/>
          <w:sz w:val="24"/>
          <w:szCs w:val="24"/>
        </w:rPr>
        <w:t xml:space="preserve"> (No perdamos la perspectiva que el Ayuntamiento de Santa Cruz tuvo 3 años para adaptar su normativa a la Ley 7/2022)</w:t>
      </w:r>
    </w:p>
    <w:p w14:paraId="33946729" w14:textId="70CE66CF" w:rsidR="00190C3D" w:rsidRPr="00AB33D2" w:rsidRDefault="00190C3D" w:rsidP="00190C3D">
      <w:pPr>
        <w:pStyle w:val="Prrafodelista"/>
        <w:numPr>
          <w:ilvl w:val="0"/>
          <w:numId w:val="1"/>
        </w:numPr>
        <w:spacing w:before="100" w:beforeAutospacing="1" w:after="100" w:afterAutospacing="1" w:line="360" w:lineRule="auto"/>
        <w:jc w:val="both"/>
        <w:rPr>
          <w:rFonts w:ascii="Arial" w:hAnsi="Arial" w:cs="Arial"/>
          <w:sz w:val="24"/>
          <w:szCs w:val="24"/>
        </w:rPr>
      </w:pPr>
      <w:r w:rsidRPr="00AB33D2">
        <w:rPr>
          <w:rFonts w:ascii="Arial" w:hAnsi="Arial" w:cs="Arial"/>
          <w:sz w:val="24"/>
          <w:szCs w:val="24"/>
        </w:rPr>
        <w:t>No se han tenido en cuenta los datos de los ingresos vinculados a los SCRAPS</w:t>
      </w:r>
      <w:r w:rsidR="00AB33D2">
        <w:rPr>
          <w:rFonts w:ascii="Arial" w:hAnsi="Arial" w:cs="Arial"/>
          <w:sz w:val="24"/>
          <w:szCs w:val="24"/>
        </w:rPr>
        <w:t>.</w:t>
      </w:r>
      <w:r w:rsidR="00D345D3">
        <w:rPr>
          <w:rFonts w:ascii="Arial" w:hAnsi="Arial" w:cs="Arial"/>
          <w:sz w:val="24"/>
          <w:szCs w:val="24"/>
        </w:rPr>
        <w:t xml:space="preserve"> No se han descontado del coste del servicio los importes abonados por ECOEMBES y ECOVIDRIO a la concesionaria.</w:t>
      </w:r>
    </w:p>
    <w:p w14:paraId="5B5AAE54" w14:textId="109E834F" w:rsidR="00190C3D" w:rsidRDefault="00190C3D" w:rsidP="00190C3D">
      <w:pPr>
        <w:pStyle w:val="Prrafodelista"/>
        <w:numPr>
          <w:ilvl w:val="0"/>
          <w:numId w:val="1"/>
        </w:numPr>
        <w:spacing w:before="100" w:beforeAutospacing="1" w:after="100" w:afterAutospacing="1" w:line="360" w:lineRule="auto"/>
        <w:jc w:val="both"/>
        <w:rPr>
          <w:rFonts w:ascii="Arial" w:hAnsi="Arial" w:cs="Arial"/>
          <w:sz w:val="24"/>
          <w:szCs w:val="24"/>
        </w:rPr>
      </w:pPr>
      <w:r>
        <w:rPr>
          <w:rFonts w:ascii="Arial" w:hAnsi="Arial" w:cs="Arial"/>
          <w:sz w:val="24"/>
          <w:szCs w:val="24"/>
        </w:rPr>
        <w:t>Ausencia de módulos de reparto motivados entre los sujetos, introduciendo coeficientes y categorías de usos (residencial y no residencial), así como de capacidad económic</w:t>
      </w:r>
      <w:r w:rsidR="00860D48">
        <w:rPr>
          <w:rFonts w:ascii="Arial" w:hAnsi="Arial" w:cs="Arial"/>
          <w:sz w:val="24"/>
          <w:szCs w:val="24"/>
        </w:rPr>
        <w:t>a</w:t>
      </w:r>
      <w:r>
        <w:rPr>
          <w:rFonts w:ascii="Arial" w:hAnsi="Arial" w:cs="Arial"/>
          <w:sz w:val="24"/>
          <w:szCs w:val="24"/>
        </w:rPr>
        <w:t xml:space="preserve"> o generación sin una explicación técnica verificable de </w:t>
      </w:r>
      <w:r w:rsidR="00D345D3">
        <w:rPr>
          <w:rFonts w:ascii="Arial" w:hAnsi="Arial" w:cs="Arial"/>
          <w:sz w:val="24"/>
          <w:szCs w:val="24"/>
        </w:rPr>
        <w:t>cómo</w:t>
      </w:r>
      <w:r>
        <w:rPr>
          <w:rFonts w:ascii="Arial" w:hAnsi="Arial" w:cs="Arial"/>
          <w:sz w:val="24"/>
          <w:szCs w:val="24"/>
        </w:rPr>
        <w:t xml:space="preserve"> se ha realizado el reparto individualizado de los costes.</w:t>
      </w:r>
    </w:p>
    <w:p w14:paraId="1ADC63D7" w14:textId="77777777" w:rsidR="008C4A1D" w:rsidRDefault="00190C3D" w:rsidP="00D345D3">
      <w:pPr>
        <w:pStyle w:val="Prrafodelista"/>
        <w:numPr>
          <w:ilvl w:val="0"/>
          <w:numId w:val="1"/>
        </w:numPr>
        <w:spacing w:before="100" w:beforeAutospacing="1" w:after="100" w:afterAutospacing="1" w:line="360" w:lineRule="auto"/>
        <w:jc w:val="both"/>
        <w:rPr>
          <w:rFonts w:ascii="Arial" w:hAnsi="Arial" w:cs="Arial"/>
          <w:sz w:val="24"/>
          <w:szCs w:val="24"/>
        </w:rPr>
      </w:pPr>
      <w:r>
        <w:rPr>
          <w:rFonts w:ascii="Arial" w:hAnsi="Arial" w:cs="Arial"/>
          <w:sz w:val="24"/>
          <w:szCs w:val="24"/>
        </w:rPr>
        <w:t>No se justifica debidamente, ni se acredita una metodología concreta en cuanto al criterio de “pago por generación”</w:t>
      </w:r>
      <w:r w:rsidR="008C4A1D">
        <w:rPr>
          <w:rFonts w:ascii="Arial" w:hAnsi="Arial" w:cs="Arial"/>
          <w:sz w:val="24"/>
          <w:szCs w:val="24"/>
        </w:rPr>
        <w:t>.</w:t>
      </w:r>
    </w:p>
    <w:p w14:paraId="76704D72" w14:textId="57E63AE6" w:rsidR="00D345D3" w:rsidRDefault="008C4A1D" w:rsidP="008C4A1D">
      <w:pPr>
        <w:pStyle w:val="Prrafodelista"/>
        <w:numPr>
          <w:ilvl w:val="1"/>
          <w:numId w:val="1"/>
        </w:numPr>
        <w:spacing w:before="100" w:beforeAutospacing="1" w:after="100" w:afterAutospacing="1" w:line="360" w:lineRule="auto"/>
        <w:ind w:left="1134" w:hanging="425"/>
        <w:jc w:val="both"/>
        <w:rPr>
          <w:rFonts w:ascii="Arial" w:hAnsi="Arial" w:cs="Arial"/>
          <w:sz w:val="24"/>
          <w:szCs w:val="24"/>
        </w:rPr>
      </w:pPr>
      <w:r>
        <w:rPr>
          <w:rFonts w:ascii="Arial" w:hAnsi="Arial" w:cs="Arial"/>
          <w:sz w:val="24"/>
          <w:szCs w:val="24"/>
        </w:rPr>
        <w:t>El</w:t>
      </w:r>
      <w:r w:rsidR="00190C3D">
        <w:rPr>
          <w:rFonts w:ascii="Arial" w:hAnsi="Arial" w:cs="Arial"/>
          <w:sz w:val="24"/>
          <w:szCs w:val="24"/>
        </w:rPr>
        <w:t xml:space="preserve"> reparto del coste entre las </w:t>
      </w:r>
      <w:r w:rsidR="00190C3D" w:rsidRPr="00190C3D">
        <w:rPr>
          <w:rFonts w:ascii="Arial" w:hAnsi="Arial" w:cs="Arial"/>
          <w:sz w:val="24"/>
          <w:szCs w:val="24"/>
        </w:rPr>
        <w:t>categorías de usos (residencial y no residencial)</w:t>
      </w:r>
      <w:r w:rsidR="008F3CCA">
        <w:rPr>
          <w:rFonts w:ascii="Arial" w:hAnsi="Arial" w:cs="Arial"/>
          <w:sz w:val="24"/>
          <w:szCs w:val="24"/>
        </w:rPr>
        <w:t xml:space="preserve"> se basa en los ingresos brutos de los años entre 2018 y 2020 por la tasa de basura vivienda (64,41%) y la tasa de basura negocio (</w:t>
      </w:r>
      <w:r w:rsidR="00860D48">
        <w:rPr>
          <w:rFonts w:ascii="Arial" w:hAnsi="Arial" w:cs="Arial"/>
          <w:sz w:val="24"/>
          <w:szCs w:val="24"/>
        </w:rPr>
        <w:t>3</w:t>
      </w:r>
      <w:r w:rsidR="008F3CCA">
        <w:rPr>
          <w:rFonts w:ascii="Arial" w:hAnsi="Arial" w:cs="Arial"/>
          <w:sz w:val="24"/>
          <w:szCs w:val="24"/>
        </w:rPr>
        <w:t>5,59%) y no en el criterio de generación ni del coste efectivo del servicio por categorías</w:t>
      </w:r>
      <w:r w:rsidR="00D345D3">
        <w:rPr>
          <w:rFonts w:ascii="Arial" w:hAnsi="Arial" w:cs="Arial"/>
          <w:sz w:val="24"/>
          <w:szCs w:val="24"/>
        </w:rPr>
        <w:t xml:space="preserve">, convirtiendo el módulo de reparto en una reproducción de la vieja estructura de ingresos, no en una distribución motivada del coste real del nuevo servicio. </w:t>
      </w:r>
    </w:p>
    <w:p w14:paraId="550995A7" w14:textId="67B9AC1D" w:rsidR="00D345D3" w:rsidRPr="00D345D3" w:rsidRDefault="00D345D3" w:rsidP="00D345D3">
      <w:pPr>
        <w:pStyle w:val="Prrafodelista"/>
        <w:numPr>
          <w:ilvl w:val="1"/>
          <w:numId w:val="1"/>
        </w:numPr>
        <w:spacing w:before="100" w:beforeAutospacing="1" w:after="100" w:afterAutospacing="1" w:line="360" w:lineRule="auto"/>
        <w:ind w:left="1134" w:hanging="425"/>
        <w:jc w:val="both"/>
        <w:rPr>
          <w:rFonts w:ascii="Arial" w:hAnsi="Arial" w:cs="Arial"/>
          <w:sz w:val="24"/>
          <w:szCs w:val="24"/>
        </w:rPr>
      </w:pPr>
      <w:r>
        <w:rPr>
          <w:rFonts w:ascii="Arial" w:hAnsi="Arial" w:cs="Arial"/>
          <w:sz w:val="24"/>
          <w:szCs w:val="24"/>
        </w:rPr>
        <w:t xml:space="preserve">Tampoco </w:t>
      </w:r>
      <w:r w:rsidRPr="00D345D3">
        <w:rPr>
          <w:rFonts w:ascii="Arial" w:hAnsi="Arial" w:cs="Arial"/>
          <w:sz w:val="24"/>
          <w:szCs w:val="24"/>
        </w:rPr>
        <w:t>queda motivado el reparto interno del coste dentro de</w:t>
      </w:r>
      <w:r>
        <w:rPr>
          <w:rFonts w:ascii="Arial" w:hAnsi="Arial" w:cs="Arial"/>
          <w:sz w:val="24"/>
          <w:szCs w:val="24"/>
        </w:rPr>
        <w:t xml:space="preserve"> </w:t>
      </w:r>
      <w:r w:rsidRPr="00D345D3">
        <w:rPr>
          <w:rFonts w:ascii="Arial" w:hAnsi="Arial" w:cs="Arial"/>
          <w:sz w:val="24"/>
          <w:szCs w:val="24"/>
        </w:rPr>
        <w:t>cada una de las dos grandes modalidades. En el ámbito residencial, la Memoria</w:t>
      </w:r>
      <w:r>
        <w:rPr>
          <w:rFonts w:ascii="Arial" w:hAnsi="Arial" w:cs="Arial"/>
          <w:sz w:val="24"/>
          <w:szCs w:val="24"/>
        </w:rPr>
        <w:t xml:space="preserve"> </w:t>
      </w:r>
      <w:r w:rsidRPr="00D345D3">
        <w:rPr>
          <w:rFonts w:ascii="Arial" w:hAnsi="Arial" w:cs="Arial"/>
          <w:sz w:val="24"/>
          <w:szCs w:val="24"/>
        </w:rPr>
        <w:t>define la cuota mediante la f</w:t>
      </w:r>
      <w:r w:rsidR="00860D48">
        <w:rPr>
          <w:rFonts w:ascii="Arial" w:hAnsi="Arial" w:cs="Arial"/>
          <w:sz w:val="24"/>
          <w:szCs w:val="24"/>
        </w:rPr>
        <w:t>ó</w:t>
      </w:r>
      <w:r w:rsidRPr="00D345D3">
        <w:rPr>
          <w:rFonts w:ascii="Arial" w:hAnsi="Arial" w:cs="Arial"/>
          <w:sz w:val="24"/>
          <w:szCs w:val="24"/>
        </w:rPr>
        <w:t>rmula CRR x CVC x CGR, partiendo de una Cuota</w:t>
      </w:r>
      <w:r>
        <w:rPr>
          <w:rFonts w:ascii="Arial" w:hAnsi="Arial" w:cs="Arial"/>
          <w:sz w:val="24"/>
          <w:szCs w:val="24"/>
        </w:rPr>
        <w:t xml:space="preserve"> </w:t>
      </w:r>
      <w:r w:rsidRPr="00D345D3">
        <w:rPr>
          <w:rFonts w:ascii="Arial" w:hAnsi="Arial" w:cs="Arial"/>
          <w:sz w:val="24"/>
          <w:szCs w:val="24"/>
        </w:rPr>
        <w:t>de Referencia Residencial de 111,34 €, y distribuye después la carga mediante</w:t>
      </w:r>
      <w:r>
        <w:rPr>
          <w:rFonts w:ascii="Arial" w:hAnsi="Arial" w:cs="Arial"/>
          <w:sz w:val="24"/>
          <w:szCs w:val="24"/>
        </w:rPr>
        <w:t xml:space="preserve"> </w:t>
      </w:r>
      <w:r w:rsidRPr="00D345D3">
        <w:rPr>
          <w:rFonts w:ascii="Arial" w:hAnsi="Arial" w:cs="Arial"/>
          <w:sz w:val="24"/>
          <w:szCs w:val="24"/>
        </w:rPr>
        <w:t>tramos de valor catastral y coeficientes de generación por número de residentes.</w:t>
      </w:r>
    </w:p>
    <w:p w14:paraId="6D558B2C" w14:textId="081DEBBB" w:rsidR="00D345D3" w:rsidRDefault="00D345D3" w:rsidP="008C4A1D">
      <w:pPr>
        <w:pStyle w:val="Prrafodelista"/>
        <w:spacing w:before="100" w:beforeAutospacing="1" w:after="100" w:afterAutospacing="1" w:line="360" w:lineRule="auto"/>
        <w:ind w:left="1134"/>
        <w:jc w:val="both"/>
        <w:rPr>
          <w:rFonts w:ascii="Arial" w:hAnsi="Arial" w:cs="Arial"/>
          <w:sz w:val="24"/>
          <w:szCs w:val="24"/>
        </w:rPr>
      </w:pPr>
      <w:r w:rsidRPr="00D345D3">
        <w:rPr>
          <w:rFonts w:ascii="Arial" w:hAnsi="Arial" w:cs="Arial"/>
          <w:sz w:val="24"/>
          <w:szCs w:val="24"/>
        </w:rPr>
        <w:t>Sin embargo, el expediente no explica por qué los concretos coeficientes elegidos- 0,85; 0,9; 1; 1,1; 1,2; 1,3; 1,4; 2,1 y 2,5 para los distintos tramos de valor catastral</w:t>
      </w:r>
      <w:r>
        <w:rPr>
          <w:rFonts w:ascii="Arial" w:hAnsi="Arial" w:cs="Arial"/>
          <w:sz w:val="24"/>
          <w:szCs w:val="24"/>
        </w:rPr>
        <w:t xml:space="preserve"> </w:t>
      </w:r>
      <w:r w:rsidRPr="00D345D3">
        <w:rPr>
          <w:rFonts w:ascii="Arial" w:hAnsi="Arial" w:cs="Arial"/>
          <w:sz w:val="24"/>
          <w:szCs w:val="24"/>
        </w:rPr>
        <w:t xml:space="preserve">- reflejan de forma adecuada la capacidad económica </w:t>
      </w:r>
      <w:r w:rsidRPr="00D345D3">
        <w:rPr>
          <w:rFonts w:ascii="Arial" w:hAnsi="Arial" w:cs="Arial"/>
          <w:sz w:val="24"/>
          <w:szCs w:val="24"/>
        </w:rPr>
        <w:lastRenderedPageBreak/>
        <w:t>relativa de los titulares, ni</w:t>
      </w:r>
      <w:r>
        <w:rPr>
          <w:rFonts w:ascii="Arial" w:hAnsi="Arial" w:cs="Arial"/>
          <w:sz w:val="24"/>
          <w:szCs w:val="24"/>
        </w:rPr>
        <w:t xml:space="preserve"> </w:t>
      </w:r>
      <w:r w:rsidRPr="00D345D3">
        <w:rPr>
          <w:rFonts w:ascii="Arial" w:hAnsi="Arial" w:cs="Arial"/>
          <w:sz w:val="24"/>
          <w:szCs w:val="24"/>
        </w:rPr>
        <w:t>por qué los coeficientes de generación 0,75; 0,9; 1; 1,05; 1,2; 1,3 y 1,4 expresan</w:t>
      </w:r>
      <w:r>
        <w:rPr>
          <w:rFonts w:ascii="Arial" w:hAnsi="Arial" w:cs="Arial"/>
          <w:sz w:val="24"/>
          <w:szCs w:val="24"/>
        </w:rPr>
        <w:t xml:space="preserve"> </w:t>
      </w:r>
      <w:r w:rsidRPr="00D345D3">
        <w:rPr>
          <w:rFonts w:ascii="Arial" w:hAnsi="Arial" w:cs="Arial"/>
          <w:sz w:val="24"/>
          <w:szCs w:val="24"/>
        </w:rPr>
        <w:t>una relación razonable con la generación efectiva de residuos por hogar. La</w:t>
      </w:r>
      <w:r>
        <w:rPr>
          <w:rFonts w:ascii="Arial" w:hAnsi="Arial" w:cs="Arial"/>
          <w:sz w:val="24"/>
          <w:szCs w:val="24"/>
        </w:rPr>
        <w:t xml:space="preserve"> </w:t>
      </w:r>
      <w:r w:rsidRPr="00D345D3">
        <w:rPr>
          <w:rFonts w:ascii="Arial" w:hAnsi="Arial" w:cs="Arial"/>
          <w:sz w:val="24"/>
          <w:szCs w:val="24"/>
        </w:rPr>
        <w:t>Memoria enuncia los coeficientes y los aplica, pero no contiene estudio empírico,</w:t>
      </w:r>
      <w:r>
        <w:rPr>
          <w:rFonts w:ascii="Arial" w:hAnsi="Arial" w:cs="Arial"/>
          <w:sz w:val="24"/>
          <w:szCs w:val="24"/>
        </w:rPr>
        <w:t xml:space="preserve"> </w:t>
      </w:r>
      <w:r w:rsidRPr="00D345D3">
        <w:rPr>
          <w:rFonts w:ascii="Arial" w:hAnsi="Arial" w:cs="Arial"/>
          <w:sz w:val="24"/>
          <w:szCs w:val="24"/>
        </w:rPr>
        <w:t>simulación, contraste estadístico ni justificación técnica bastante que permita</w:t>
      </w:r>
      <w:r>
        <w:rPr>
          <w:rFonts w:ascii="Arial" w:hAnsi="Arial" w:cs="Arial"/>
          <w:sz w:val="24"/>
          <w:szCs w:val="24"/>
        </w:rPr>
        <w:t xml:space="preserve"> </w:t>
      </w:r>
      <w:r w:rsidRPr="00D345D3">
        <w:rPr>
          <w:rFonts w:ascii="Arial" w:hAnsi="Arial" w:cs="Arial"/>
          <w:sz w:val="24"/>
          <w:szCs w:val="24"/>
        </w:rPr>
        <w:t>verificar la proporcionalidad interna de esa escala.</w:t>
      </w:r>
    </w:p>
    <w:p w14:paraId="0DCAC6C7" w14:textId="2C19E704" w:rsidR="00D345D3" w:rsidRDefault="00D345D3" w:rsidP="00D345D3">
      <w:pPr>
        <w:pStyle w:val="Prrafodelista"/>
        <w:numPr>
          <w:ilvl w:val="1"/>
          <w:numId w:val="1"/>
        </w:numPr>
        <w:spacing w:before="100" w:beforeAutospacing="1" w:after="100" w:afterAutospacing="1" w:line="360" w:lineRule="auto"/>
        <w:ind w:left="1134" w:hanging="425"/>
        <w:jc w:val="both"/>
        <w:rPr>
          <w:rFonts w:ascii="Arial" w:hAnsi="Arial" w:cs="Arial"/>
          <w:sz w:val="24"/>
          <w:szCs w:val="24"/>
        </w:rPr>
      </w:pPr>
      <w:r>
        <w:rPr>
          <w:rFonts w:ascii="Arial" w:hAnsi="Arial" w:cs="Arial"/>
          <w:sz w:val="24"/>
          <w:szCs w:val="24"/>
        </w:rPr>
        <w:t xml:space="preserve">Igualmente, la motivación en los módulos de reparto en el ámbito no residencial es todavía más deficiente. La Memoria </w:t>
      </w:r>
      <w:r w:rsidRPr="00D345D3">
        <w:rPr>
          <w:rFonts w:ascii="Arial" w:hAnsi="Arial" w:cs="Arial"/>
          <w:sz w:val="24"/>
          <w:szCs w:val="24"/>
        </w:rPr>
        <w:t>reconoce expresamente que no existe una relación directa entre el número de inmuebles no residenciales y la generación de residuos, y que el sistema ideal exigiría vincular la información catastral con la actividad económica real desarrollada en cada inmueble. Sin embargo, al no disponer de esa identificación completa, opta por construir el reparto a partir del uso catastral y de un orden de prelación elaborado mediante la comparación entre usos catastrales y la media de importe por registro de la antigua tasa de negocios</w:t>
      </w:r>
      <w:r w:rsidR="008C4A1D">
        <w:rPr>
          <w:rFonts w:ascii="Arial" w:hAnsi="Arial" w:cs="Arial"/>
          <w:sz w:val="24"/>
          <w:szCs w:val="24"/>
        </w:rPr>
        <w:t xml:space="preserve"> de 2024. Se utiliza la antigua carga tributaria por grupos de actividad para justificar la nueva carga tributaria por usos catastrales sin datos reales que hayan medido la generación de residuos.</w:t>
      </w:r>
    </w:p>
    <w:p w14:paraId="5809D7B9" w14:textId="366E6305" w:rsidR="00F5670E" w:rsidRDefault="008F3CCA" w:rsidP="008F3CCA">
      <w:pPr>
        <w:spacing w:before="100" w:beforeAutospacing="1" w:after="100" w:afterAutospacing="1" w:line="360" w:lineRule="auto"/>
        <w:jc w:val="both"/>
        <w:rPr>
          <w:rFonts w:ascii="Arial" w:hAnsi="Arial" w:cs="Arial"/>
          <w:sz w:val="24"/>
          <w:szCs w:val="24"/>
        </w:rPr>
      </w:pPr>
      <w:r>
        <w:rPr>
          <w:rFonts w:ascii="Arial" w:hAnsi="Arial" w:cs="Arial"/>
          <w:sz w:val="24"/>
          <w:szCs w:val="24"/>
        </w:rPr>
        <w:t>Por todo ello, se vulnera</w:t>
      </w:r>
      <w:r w:rsidR="00860D48">
        <w:rPr>
          <w:rFonts w:ascii="Arial" w:hAnsi="Arial" w:cs="Arial"/>
          <w:sz w:val="24"/>
          <w:szCs w:val="24"/>
        </w:rPr>
        <w:t>n</w:t>
      </w:r>
      <w:r w:rsidR="00F5670E" w:rsidRPr="00190C3D">
        <w:rPr>
          <w:rFonts w:ascii="Arial" w:hAnsi="Arial" w:cs="Arial"/>
          <w:sz w:val="24"/>
          <w:szCs w:val="24"/>
        </w:rPr>
        <w:t xml:space="preserve"> los artículos 24 y 25 del Real Decreto Legislativo 2/2004, de 5 de marzo, por el que se aprueba el texto refundido de la Ley Reguladora de las Haciendas Locales y el artículo 11.3 de la Ley 7/2022, de 8 de abril, de residuos y suelos contaminados para una economía circular.</w:t>
      </w:r>
    </w:p>
    <w:p w14:paraId="0DBEC5AB" w14:textId="71DB0899" w:rsidR="009E26BC" w:rsidRDefault="00AB33D2" w:rsidP="009E26BC">
      <w:pPr>
        <w:spacing w:before="100" w:beforeAutospacing="1" w:after="100" w:afterAutospacing="1" w:line="360" w:lineRule="auto"/>
        <w:jc w:val="both"/>
        <w:rPr>
          <w:rFonts w:ascii="Arial" w:hAnsi="Arial" w:cs="Arial"/>
          <w:sz w:val="24"/>
          <w:szCs w:val="24"/>
        </w:rPr>
      </w:pPr>
      <w:proofErr w:type="gramStart"/>
      <w:r>
        <w:rPr>
          <w:rFonts w:ascii="Arial" w:hAnsi="Arial" w:cs="Arial"/>
          <w:b/>
          <w:bCs/>
          <w:sz w:val="24"/>
          <w:szCs w:val="24"/>
        </w:rPr>
        <w:t>CUARTA</w:t>
      </w:r>
      <w:r w:rsidR="008F3CCA" w:rsidRPr="000E5471">
        <w:rPr>
          <w:rFonts w:ascii="Arial" w:hAnsi="Arial" w:cs="Arial"/>
          <w:b/>
          <w:bCs/>
          <w:sz w:val="24"/>
          <w:szCs w:val="24"/>
        </w:rPr>
        <w:t>.-</w:t>
      </w:r>
      <w:proofErr w:type="gramEnd"/>
      <w:r w:rsidR="008F3CCA">
        <w:rPr>
          <w:rFonts w:ascii="Arial" w:hAnsi="Arial" w:cs="Arial"/>
          <w:sz w:val="24"/>
          <w:szCs w:val="24"/>
        </w:rPr>
        <w:t xml:space="preserve"> </w:t>
      </w:r>
      <w:r w:rsidR="001369F6">
        <w:rPr>
          <w:rFonts w:ascii="Arial" w:hAnsi="Arial" w:cs="Arial"/>
          <w:sz w:val="24"/>
          <w:szCs w:val="24"/>
        </w:rPr>
        <w:t xml:space="preserve">ILEGALIDAD DE LA ORDENANZA POR VULNERAR EL </w:t>
      </w:r>
      <w:r w:rsidR="00860D48">
        <w:rPr>
          <w:rFonts w:ascii="Arial" w:hAnsi="Arial" w:cs="Arial"/>
          <w:sz w:val="24"/>
          <w:szCs w:val="24"/>
        </w:rPr>
        <w:t>PRINCIPIO</w:t>
      </w:r>
      <w:r w:rsidR="001369F6">
        <w:rPr>
          <w:rFonts w:ascii="Arial" w:hAnsi="Arial" w:cs="Arial"/>
          <w:sz w:val="24"/>
          <w:szCs w:val="24"/>
        </w:rPr>
        <w:t xml:space="preserve"> DE GENERALIDAD Y DEL RÉGIMEN GENERAL DE </w:t>
      </w:r>
      <w:r w:rsidR="00CF7BCA">
        <w:rPr>
          <w:rFonts w:ascii="Arial" w:hAnsi="Arial" w:cs="Arial"/>
          <w:sz w:val="24"/>
          <w:szCs w:val="24"/>
        </w:rPr>
        <w:t xml:space="preserve">BENEFICIOS FISCALES </w:t>
      </w:r>
      <w:r w:rsidR="009E26BC" w:rsidRPr="009E26BC">
        <w:rPr>
          <w:rFonts w:ascii="Arial" w:hAnsi="Arial" w:cs="Arial"/>
          <w:sz w:val="24"/>
          <w:szCs w:val="24"/>
        </w:rPr>
        <w:t>POR EXCLUSIÓN DE LOS INMUEBLES DE TITULARIDAD MUNICIPAL DEL ÁMBITO SUBJETIVO DE LA EXACCIÓN.</w:t>
      </w:r>
    </w:p>
    <w:p w14:paraId="2AFAC850" w14:textId="2A708E6A" w:rsidR="008F3CCA" w:rsidRDefault="008F3CCA" w:rsidP="008F3CCA">
      <w:pPr>
        <w:spacing w:before="100" w:beforeAutospacing="1" w:after="100" w:afterAutospacing="1" w:line="360" w:lineRule="auto"/>
        <w:jc w:val="both"/>
        <w:rPr>
          <w:rFonts w:ascii="Arial" w:hAnsi="Arial" w:cs="Arial"/>
          <w:sz w:val="24"/>
          <w:szCs w:val="24"/>
        </w:rPr>
      </w:pPr>
      <w:r>
        <w:rPr>
          <w:rFonts w:ascii="Arial" w:hAnsi="Arial" w:cs="Arial"/>
          <w:sz w:val="24"/>
          <w:szCs w:val="24"/>
        </w:rPr>
        <w:t xml:space="preserve">Que la tasa vulnera el principio de generalidad y del régimen legal de beneficios fiscales por excluir del cálculo del coste del servicio los 1.227 inmuebles de titularidad municipal, con independencia de que se hallen o no afectos al dominio público local o a un uso o servicio públicos, por lo que se trata de una exacción que vulnera el principio constitucional de generalidad tributaria y altera injustificadamente el reparto </w:t>
      </w:r>
      <w:r>
        <w:rPr>
          <w:rFonts w:ascii="Arial" w:hAnsi="Arial" w:cs="Arial"/>
          <w:sz w:val="24"/>
          <w:szCs w:val="24"/>
        </w:rPr>
        <w:lastRenderedPageBreak/>
        <w:t xml:space="preserve">del coste del servicio que se traslada </w:t>
      </w:r>
      <w:r w:rsidR="00860D48">
        <w:rPr>
          <w:rFonts w:ascii="Arial" w:hAnsi="Arial" w:cs="Arial"/>
          <w:sz w:val="24"/>
          <w:szCs w:val="24"/>
        </w:rPr>
        <w:t>al</w:t>
      </w:r>
      <w:r>
        <w:rPr>
          <w:rFonts w:ascii="Arial" w:hAnsi="Arial" w:cs="Arial"/>
          <w:sz w:val="24"/>
          <w:szCs w:val="24"/>
        </w:rPr>
        <w:t xml:space="preserve"> resto de los contribuyentes. (Art. 31.1 de la Constitución Española).</w:t>
      </w:r>
    </w:p>
    <w:p w14:paraId="6F57080D" w14:textId="39EEAB0C" w:rsidR="009E26BC" w:rsidRDefault="009E26BC" w:rsidP="009E26BC">
      <w:pPr>
        <w:spacing w:before="100" w:beforeAutospacing="1" w:after="100" w:afterAutospacing="1" w:line="360" w:lineRule="auto"/>
        <w:jc w:val="both"/>
        <w:rPr>
          <w:rFonts w:ascii="Arial" w:hAnsi="Arial" w:cs="Arial"/>
          <w:sz w:val="24"/>
          <w:szCs w:val="24"/>
        </w:rPr>
      </w:pPr>
      <w:r>
        <w:rPr>
          <w:rFonts w:ascii="Arial" w:hAnsi="Arial" w:cs="Arial"/>
          <w:sz w:val="24"/>
          <w:szCs w:val="24"/>
        </w:rPr>
        <w:t xml:space="preserve">Y es que es la propia </w:t>
      </w:r>
      <w:r w:rsidRPr="009E26BC">
        <w:rPr>
          <w:rFonts w:ascii="Arial" w:hAnsi="Arial" w:cs="Arial"/>
          <w:sz w:val="24"/>
          <w:szCs w:val="24"/>
        </w:rPr>
        <w:t>Memoria Económico-Financiera incorporada al expediente administrativo</w:t>
      </w:r>
      <w:r>
        <w:rPr>
          <w:rFonts w:ascii="Arial" w:hAnsi="Arial" w:cs="Arial"/>
          <w:sz w:val="24"/>
          <w:szCs w:val="24"/>
        </w:rPr>
        <w:t xml:space="preserve"> la que </w:t>
      </w:r>
      <w:r w:rsidRPr="009E26BC">
        <w:rPr>
          <w:rFonts w:ascii="Arial" w:hAnsi="Arial" w:cs="Arial"/>
          <w:sz w:val="24"/>
          <w:szCs w:val="24"/>
        </w:rPr>
        <w:t>reconoce expresamente que, de los 93.403 inmuebles de uso catastral residencial</w:t>
      </w:r>
      <w:r>
        <w:rPr>
          <w:rFonts w:ascii="Arial" w:hAnsi="Arial" w:cs="Arial"/>
          <w:sz w:val="24"/>
          <w:szCs w:val="24"/>
        </w:rPr>
        <w:t xml:space="preserve"> </w:t>
      </w:r>
      <w:r w:rsidRPr="009E26BC">
        <w:rPr>
          <w:rFonts w:ascii="Arial" w:hAnsi="Arial" w:cs="Arial"/>
          <w:sz w:val="24"/>
          <w:szCs w:val="24"/>
        </w:rPr>
        <w:t>existentes en el municipio, 1.227 son de titularidad municipal, excluyéndose del</w:t>
      </w:r>
      <w:r>
        <w:rPr>
          <w:rFonts w:ascii="Arial" w:hAnsi="Arial" w:cs="Arial"/>
          <w:sz w:val="24"/>
          <w:szCs w:val="24"/>
        </w:rPr>
        <w:t xml:space="preserve"> </w:t>
      </w:r>
      <w:r w:rsidRPr="009E26BC">
        <w:rPr>
          <w:rFonts w:ascii="Arial" w:hAnsi="Arial" w:cs="Arial"/>
          <w:sz w:val="24"/>
          <w:szCs w:val="24"/>
        </w:rPr>
        <w:t>cálculo como "no sujetos"</w:t>
      </w:r>
      <w:r>
        <w:rPr>
          <w:rFonts w:ascii="Arial" w:hAnsi="Arial" w:cs="Arial"/>
          <w:sz w:val="24"/>
          <w:szCs w:val="24"/>
        </w:rPr>
        <w:t xml:space="preserve">. Por lo que estamos ante una alteración del reparto del coste residencial imputado, </w:t>
      </w:r>
      <w:r w:rsidRPr="009E26BC">
        <w:rPr>
          <w:rFonts w:ascii="Arial" w:hAnsi="Arial" w:cs="Arial"/>
          <w:sz w:val="24"/>
          <w:szCs w:val="24"/>
        </w:rPr>
        <w:t>(10.240.813,48 euros)</w:t>
      </w:r>
      <w:r>
        <w:rPr>
          <w:rFonts w:ascii="Arial" w:hAnsi="Arial" w:cs="Arial"/>
          <w:sz w:val="24"/>
          <w:szCs w:val="24"/>
        </w:rPr>
        <w:t xml:space="preserve"> ya que dicho coste, </w:t>
      </w:r>
      <w:r w:rsidRPr="009E26BC">
        <w:rPr>
          <w:rFonts w:ascii="Arial" w:hAnsi="Arial" w:cs="Arial"/>
          <w:sz w:val="24"/>
          <w:szCs w:val="24"/>
        </w:rPr>
        <w:t xml:space="preserve">se distribuye entre menos inmuebles residenciales de los </w:t>
      </w:r>
      <w:r>
        <w:rPr>
          <w:rFonts w:ascii="Arial" w:hAnsi="Arial" w:cs="Arial"/>
          <w:sz w:val="24"/>
          <w:szCs w:val="24"/>
        </w:rPr>
        <w:t xml:space="preserve">que </w:t>
      </w:r>
      <w:r w:rsidRPr="009E26BC">
        <w:rPr>
          <w:rFonts w:ascii="Arial" w:hAnsi="Arial" w:cs="Arial"/>
          <w:sz w:val="24"/>
          <w:szCs w:val="24"/>
        </w:rPr>
        <w:t xml:space="preserve">realmente </w:t>
      </w:r>
      <w:r>
        <w:rPr>
          <w:rFonts w:ascii="Arial" w:hAnsi="Arial" w:cs="Arial"/>
          <w:sz w:val="24"/>
          <w:szCs w:val="24"/>
        </w:rPr>
        <w:t xml:space="preserve">existen, produciéndose una </w:t>
      </w:r>
      <w:r w:rsidRPr="009E26BC">
        <w:rPr>
          <w:rFonts w:ascii="Arial" w:hAnsi="Arial" w:cs="Arial"/>
          <w:sz w:val="24"/>
          <w:szCs w:val="24"/>
        </w:rPr>
        <w:t>quiebra del equilibrio financiero del sistema.</w:t>
      </w:r>
    </w:p>
    <w:p w14:paraId="53011827" w14:textId="11DE0898" w:rsidR="002849A7" w:rsidRDefault="002849A7" w:rsidP="002849A7">
      <w:pPr>
        <w:spacing w:before="100" w:beforeAutospacing="1" w:after="100" w:afterAutospacing="1" w:line="360" w:lineRule="auto"/>
        <w:jc w:val="both"/>
        <w:rPr>
          <w:rFonts w:ascii="Arial" w:hAnsi="Arial" w:cs="Arial"/>
          <w:sz w:val="24"/>
          <w:szCs w:val="24"/>
        </w:rPr>
      </w:pPr>
      <w:r>
        <w:rPr>
          <w:rFonts w:ascii="Arial" w:hAnsi="Arial" w:cs="Arial"/>
          <w:sz w:val="24"/>
          <w:szCs w:val="24"/>
        </w:rPr>
        <w:t>Por lo tanto, l</w:t>
      </w:r>
      <w:r w:rsidRPr="002849A7">
        <w:rPr>
          <w:rFonts w:ascii="Arial" w:hAnsi="Arial" w:cs="Arial"/>
          <w:sz w:val="24"/>
          <w:szCs w:val="24"/>
        </w:rPr>
        <w:t>a previsión contenida en la Ordenanza fiscal impugnada por la cual se excluyen</w:t>
      </w:r>
      <w:r>
        <w:rPr>
          <w:rFonts w:ascii="Arial" w:hAnsi="Arial" w:cs="Arial"/>
          <w:sz w:val="24"/>
          <w:szCs w:val="24"/>
        </w:rPr>
        <w:t xml:space="preserve"> </w:t>
      </w:r>
      <w:r w:rsidRPr="002849A7">
        <w:rPr>
          <w:rFonts w:ascii="Arial" w:hAnsi="Arial" w:cs="Arial"/>
          <w:sz w:val="24"/>
          <w:szCs w:val="24"/>
        </w:rPr>
        <w:t>indiscriminadamente los inmuebles de titularidad municipal carece de cobertura</w:t>
      </w:r>
      <w:r>
        <w:rPr>
          <w:rFonts w:ascii="Arial" w:hAnsi="Arial" w:cs="Arial"/>
          <w:sz w:val="24"/>
          <w:szCs w:val="24"/>
        </w:rPr>
        <w:t xml:space="preserve"> </w:t>
      </w:r>
      <w:r w:rsidRPr="002849A7">
        <w:rPr>
          <w:rFonts w:ascii="Arial" w:hAnsi="Arial" w:cs="Arial"/>
          <w:sz w:val="24"/>
          <w:szCs w:val="24"/>
        </w:rPr>
        <w:t>legal, vulnera el principio de generalidad y de igualdad ante las cargas públicas,</w:t>
      </w:r>
      <w:r>
        <w:rPr>
          <w:rFonts w:ascii="Arial" w:hAnsi="Arial" w:cs="Arial"/>
          <w:sz w:val="24"/>
          <w:szCs w:val="24"/>
        </w:rPr>
        <w:t xml:space="preserve"> </w:t>
      </w:r>
      <w:r w:rsidRPr="002849A7">
        <w:rPr>
          <w:rFonts w:ascii="Arial" w:hAnsi="Arial" w:cs="Arial"/>
          <w:sz w:val="24"/>
          <w:szCs w:val="24"/>
        </w:rPr>
        <w:t>altera el reparto del coste real del servicio e incrementa la cuota del resto de</w:t>
      </w:r>
      <w:r>
        <w:rPr>
          <w:rFonts w:ascii="Arial" w:hAnsi="Arial" w:cs="Arial"/>
          <w:sz w:val="24"/>
          <w:szCs w:val="24"/>
        </w:rPr>
        <w:t xml:space="preserve"> </w:t>
      </w:r>
      <w:r w:rsidRPr="002849A7">
        <w:rPr>
          <w:rFonts w:ascii="Arial" w:hAnsi="Arial" w:cs="Arial"/>
          <w:sz w:val="24"/>
          <w:szCs w:val="24"/>
        </w:rPr>
        <w:t>contribuyentes.</w:t>
      </w:r>
    </w:p>
    <w:p w14:paraId="24DCAA03" w14:textId="2554732B" w:rsidR="00CF7BCA" w:rsidRDefault="009E26BC" w:rsidP="008F3CCA">
      <w:pPr>
        <w:spacing w:before="100" w:beforeAutospacing="1" w:after="100" w:afterAutospacing="1" w:line="360" w:lineRule="auto"/>
        <w:jc w:val="both"/>
        <w:rPr>
          <w:rFonts w:ascii="Arial" w:hAnsi="Arial" w:cs="Arial"/>
          <w:sz w:val="24"/>
          <w:szCs w:val="24"/>
        </w:rPr>
      </w:pPr>
      <w:proofErr w:type="gramStart"/>
      <w:r>
        <w:rPr>
          <w:rFonts w:ascii="Arial" w:hAnsi="Arial" w:cs="Arial"/>
          <w:b/>
          <w:bCs/>
          <w:sz w:val="24"/>
          <w:szCs w:val="24"/>
        </w:rPr>
        <w:t>QUINTA</w:t>
      </w:r>
      <w:r w:rsidR="00692861" w:rsidRPr="000E5471">
        <w:rPr>
          <w:rFonts w:ascii="Arial" w:hAnsi="Arial" w:cs="Arial"/>
          <w:b/>
          <w:bCs/>
          <w:sz w:val="24"/>
          <w:szCs w:val="24"/>
        </w:rPr>
        <w:t>.-</w:t>
      </w:r>
      <w:proofErr w:type="gramEnd"/>
      <w:r w:rsidR="00692861">
        <w:rPr>
          <w:rFonts w:ascii="Arial" w:hAnsi="Arial" w:cs="Arial"/>
          <w:sz w:val="24"/>
          <w:szCs w:val="24"/>
        </w:rPr>
        <w:t xml:space="preserve"> </w:t>
      </w:r>
      <w:r w:rsidR="00CF7BCA">
        <w:rPr>
          <w:rFonts w:ascii="Arial" w:hAnsi="Arial" w:cs="Arial"/>
          <w:sz w:val="24"/>
          <w:szCs w:val="24"/>
        </w:rPr>
        <w:t>ILEGALIDAD DE LA ORDENANZA FISCAL POR NO DISTRIBUIR LOS COSTES EN FUNCIÓN DE LA GENERACIÓN DE RESIDUOS COMO EXIGE LA LEY 7/2022</w:t>
      </w:r>
      <w:r>
        <w:rPr>
          <w:rFonts w:ascii="Arial" w:hAnsi="Arial" w:cs="Arial"/>
          <w:sz w:val="24"/>
          <w:szCs w:val="24"/>
        </w:rPr>
        <w:t>.</w:t>
      </w:r>
    </w:p>
    <w:p w14:paraId="4766AD08" w14:textId="782E021D" w:rsidR="00692861" w:rsidRDefault="00692861" w:rsidP="008F3CCA">
      <w:pPr>
        <w:spacing w:before="100" w:beforeAutospacing="1" w:after="100" w:afterAutospacing="1" w:line="360" w:lineRule="auto"/>
        <w:jc w:val="both"/>
        <w:rPr>
          <w:rFonts w:ascii="Arial" w:hAnsi="Arial" w:cs="Arial"/>
          <w:sz w:val="24"/>
          <w:szCs w:val="24"/>
        </w:rPr>
      </w:pPr>
      <w:r>
        <w:rPr>
          <w:rFonts w:ascii="Arial" w:hAnsi="Arial" w:cs="Arial"/>
          <w:sz w:val="24"/>
          <w:szCs w:val="24"/>
        </w:rPr>
        <w:t xml:space="preserve">Que la tasa infringe el artículo 11 de la </w:t>
      </w:r>
      <w:r w:rsidRPr="00692861">
        <w:rPr>
          <w:rFonts w:ascii="Arial" w:hAnsi="Arial" w:cs="Arial"/>
          <w:sz w:val="24"/>
          <w:szCs w:val="24"/>
        </w:rPr>
        <w:t>Ley 7/2022, de 8 de abril, de residuos y suelos contaminados para una economía circular</w:t>
      </w:r>
      <w:r>
        <w:rPr>
          <w:rFonts w:ascii="Arial" w:hAnsi="Arial" w:cs="Arial"/>
          <w:sz w:val="24"/>
          <w:szCs w:val="24"/>
        </w:rPr>
        <w:t xml:space="preserve"> en cuanto al principio de pago por generación y de quien contamina paga ya que se ha priorizado la simplicidad recaudatoria frente al mandato ambiental puesto que la Disposición Transitoria Segunda </w:t>
      </w:r>
      <w:r w:rsidR="00367634">
        <w:rPr>
          <w:rFonts w:ascii="Arial" w:hAnsi="Arial" w:cs="Arial"/>
          <w:sz w:val="24"/>
          <w:szCs w:val="24"/>
        </w:rPr>
        <w:t>d</w:t>
      </w:r>
      <w:r>
        <w:rPr>
          <w:rFonts w:ascii="Arial" w:hAnsi="Arial" w:cs="Arial"/>
          <w:sz w:val="24"/>
          <w:szCs w:val="24"/>
        </w:rPr>
        <w:t>e la Ordenanza establece que para el año 2026, el coeficiente de generación de residuos será igual a 1 para todos los inmuebles residenciales independientemente del número de personas que resida en dichos inmuebles.</w:t>
      </w:r>
    </w:p>
    <w:p w14:paraId="03043374" w14:textId="43160785" w:rsidR="00256B24" w:rsidRPr="00256B24" w:rsidRDefault="00256B24" w:rsidP="00256B24">
      <w:pPr>
        <w:spacing w:before="100" w:beforeAutospacing="1" w:after="100" w:afterAutospacing="1" w:line="360" w:lineRule="auto"/>
        <w:jc w:val="both"/>
        <w:rPr>
          <w:rFonts w:ascii="Arial" w:hAnsi="Arial" w:cs="Arial"/>
          <w:sz w:val="24"/>
          <w:szCs w:val="24"/>
        </w:rPr>
      </w:pPr>
      <w:r w:rsidRPr="00256B24">
        <w:rPr>
          <w:rFonts w:ascii="Arial" w:hAnsi="Arial" w:cs="Arial"/>
          <w:sz w:val="24"/>
          <w:szCs w:val="24"/>
        </w:rPr>
        <w:t>El Ayuntamiento dispone de competencias propias en materia de padrón municipal y gestión tributaria.</w:t>
      </w:r>
      <w:r>
        <w:rPr>
          <w:rFonts w:ascii="Arial" w:hAnsi="Arial" w:cs="Arial"/>
          <w:sz w:val="24"/>
          <w:szCs w:val="24"/>
        </w:rPr>
        <w:t xml:space="preserve"> </w:t>
      </w:r>
      <w:r w:rsidRPr="00256B24">
        <w:rPr>
          <w:rFonts w:ascii="Arial" w:hAnsi="Arial" w:cs="Arial"/>
          <w:sz w:val="24"/>
          <w:szCs w:val="24"/>
        </w:rPr>
        <w:t xml:space="preserve">Ha contado con un plazo de tres años desde la entrada en vigor de la Ley 7/2022 para realizar las comprobaciones y depuraciones necesarias. </w:t>
      </w:r>
    </w:p>
    <w:p w14:paraId="390920B0" w14:textId="7AE005AF" w:rsidR="00256B24" w:rsidRDefault="00256B24" w:rsidP="00256B24">
      <w:pPr>
        <w:spacing w:before="100" w:beforeAutospacing="1" w:after="100" w:afterAutospacing="1" w:line="360" w:lineRule="auto"/>
        <w:jc w:val="both"/>
        <w:rPr>
          <w:rFonts w:ascii="Arial" w:hAnsi="Arial" w:cs="Arial"/>
          <w:sz w:val="24"/>
          <w:szCs w:val="24"/>
        </w:rPr>
      </w:pPr>
      <w:r w:rsidRPr="00256B24">
        <w:rPr>
          <w:rFonts w:ascii="Arial" w:hAnsi="Arial" w:cs="Arial"/>
          <w:sz w:val="24"/>
          <w:szCs w:val="24"/>
        </w:rPr>
        <w:t>La alegación de dificultad técnica no puede justificar la implantación de un sistema que no se ajusta al mandato legal cuando el propio expediente reconoce las variables adecuadas y la disponibilidad parcial de datos.</w:t>
      </w:r>
    </w:p>
    <w:p w14:paraId="5584236C" w14:textId="56AC5C8F" w:rsidR="00775E83" w:rsidRDefault="00256B24" w:rsidP="008F3CCA">
      <w:pPr>
        <w:spacing w:before="100" w:beforeAutospacing="1" w:after="100" w:afterAutospacing="1" w:line="360" w:lineRule="auto"/>
        <w:jc w:val="both"/>
        <w:rPr>
          <w:rFonts w:ascii="Arial" w:hAnsi="Arial" w:cs="Arial"/>
          <w:sz w:val="24"/>
          <w:szCs w:val="24"/>
        </w:rPr>
      </w:pPr>
      <w:r>
        <w:rPr>
          <w:rFonts w:ascii="Arial" w:hAnsi="Arial" w:cs="Arial"/>
          <w:b/>
          <w:bCs/>
          <w:sz w:val="24"/>
          <w:szCs w:val="24"/>
        </w:rPr>
        <w:lastRenderedPageBreak/>
        <w:t>SEXTA</w:t>
      </w:r>
      <w:r w:rsidR="00CF7BCA" w:rsidRPr="00CF7BCA">
        <w:rPr>
          <w:rFonts w:ascii="Arial" w:hAnsi="Arial" w:cs="Arial"/>
          <w:b/>
          <w:bCs/>
          <w:sz w:val="24"/>
          <w:szCs w:val="24"/>
        </w:rPr>
        <w:t xml:space="preserve">. </w:t>
      </w:r>
      <w:r w:rsidR="00775E83">
        <w:rPr>
          <w:rFonts w:ascii="Arial" w:hAnsi="Arial" w:cs="Arial"/>
          <w:sz w:val="24"/>
          <w:szCs w:val="24"/>
        </w:rPr>
        <w:t>INCUMPLIMIENTO EN LA APLICACIÓN DE LOS BENEFICIOS FISCALES DEL ART. 14.2 Y DISPOSICIÓN ADICIONAL TERCERA.</w:t>
      </w:r>
    </w:p>
    <w:p w14:paraId="006C07B5" w14:textId="12C486A0" w:rsidR="00775E83" w:rsidRDefault="00775E83" w:rsidP="00775E83">
      <w:pPr>
        <w:spacing w:before="100" w:beforeAutospacing="1" w:after="100" w:afterAutospacing="1" w:line="360" w:lineRule="auto"/>
        <w:jc w:val="both"/>
        <w:rPr>
          <w:rFonts w:ascii="Arial" w:hAnsi="Arial" w:cs="Arial"/>
          <w:sz w:val="24"/>
          <w:szCs w:val="24"/>
        </w:rPr>
      </w:pPr>
      <w:r>
        <w:rPr>
          <w:rFonts w:ascii="Arial" w:hAnsi="Arial" w:cs="Arial"/>
          <w:sz w:val="24"/>
          <w:szCs w:val="24"/>
        </w:rPr>
        <w:t xml:space="preserve">El Ayuntamiento ha incumplido con la aplicación de oficio de la bonificación del 10% de la cuota tributaria </w:t>
      </w:r>
      <w:r w:rsidRPr="00775E83">
        <w:rPr>
          <w:rFonts w:ascii="Arial" w:hAnsi="Arial" w:cs="Arial"/>
          <w:sz w:val="24"/>
          <w:szCs w:val="24"/>
        </w:rPr>
        <w:t>por la separación y recogida separada de residuos de materia orgánica</w:t>
      </w:r>
      <w:r>
        <w:rPr>
          <w:rFonts w:ascii="Arial" w:hAnsi="Arial" w:cs="Arial"/>
          <w:sz w:val="24"/>
          <w:szCs w:val="24"/>
        </w:rPr>
        <w:t>.</w:t>
      </w:r>
    </w:p>
    <w:p w14:paraId="469D4B5F" w14:textId="1C8DE8A0" w:rsidR="00775E83" w:rsidRPr="00775E83" w:rsidRDefault="00775E83" w:rsidP="00775E83">
      <w:pPr>
        <w:spacing w:before="100" w:beforeAutospacing="1" w:after="100" w:afterAutospacing="1" w:line="360" w:lineRule="auto"/>
        <w:jc w:val="both"/>
        <w:rPr>
          <w:rFonts w:ascii="Arial" w:hAnsi="Arial" w:cs="Arial"/>
          <w:sz w:val="24"/>
          <w:szCs w:val="24"/>
        </w:rPr>
      </w:pPr>
      <w:r>
        <w:rPr>
          <w:rFonts w:ascii="Arial" w:hAnsi="Arial" w:cs="Arial"/>
          <w:sz w:val="24"/>
          <w:szCs w:val="24"/>
        </w:rPr>
        <w:t xml:space="preserve">La </w:t>
      </w:r>
      <w:r w:rsidRPr="00775E83">
        <w:rPr>
          <w:rFonts w:ascii="Arial" w:hAnsi="Arial" w:cs="Arial"/>
          <w:sz w:val="24"/>
          <w:szCs w:val="24"/>
        </w:rPr>
        <w:t>Disposición adicional tercera</w:t>
      </w:r>
      <w:r>
        <w:rPr>
          <w:rFonts w:ascii="Arial" w:hAnsi="Arial" w:cs="Arial"/>
          <w:sz w:val="24"/>
          <w:szCs w:val="24"/>
        </w:rPr>
        <w:t xml:space="preserve"> establece que la </w:t>
      </w:r>
      <w:r w:rsidRPr="00775E83">
        <w:rPr>
          <w:rFonts w:ascii="Arial" w:hAnsi="Arial" w:cs="Arial"/>
          <w:i/>
          <w:iCs/>
          <w:sz w:val="24"/>
          <w:szCs w:val="24"/>
        </w:rPr>
        <w:t xml:space="preserve">“Aplicación en el ejercicio 2026, 2027 </w:t>
      </w:r>
      <w:r w:rsidR="00367634">
        <w:rPr>
          <w:rFonts w:ascii="Arial" w:hAnsi="Arial" w:cs="Arial"/>
          <w:i/>
          <w:iCs/>
          <w:sz w:val="24"/>
          <w:szCs w:val="24"/>
        </w:rPr>
        <w:t>y</w:t>
      </w:r>
      <w:r w:rsidRPr="00775E83">
        <w:rPr>
          <w:rFonts w:ascii="Arial" w:hAnsi="Arial" w:cs="Arial"/>
          <w:i/>
          <w:iCs/>
          <w:sz w:val="24"/>
          <w:szCs w:val="24"/>
        </w:rPr>
        <w:t xml:space="preserve"> 2028 del beneficio fiscal previsto en los artículos 13.5 y 14.2 de esta Ordenanza fiscal. Sin perjuicio de lo dispuesto con carácter general en los artículos 13.5 y 14.2 de esta Ordenanza, </w:t>
      </w:r>
      <w:r w:rsidRPr="00775E83">
        <w:rPr>
          <w:rFonts w:ascii="Arial" w:hAnsi="Arial" w:cs="Arial"/>
          <w:i/>
          <w:iCs/>
          <w:sz w:val="24"/>
          <w:szCs w:val="24"/>
          <w:u w:val="single"/>
        </w:rPr>
        <w:t>con carácter excepcional para los ejercicios 2026, 2027 y 2028, el beneficio fiscal regulado en los mismos se aplicará de oficio</w:t>
      </w:r>
      <w:r w:rsidRPr="00775E83">
        <w:rPr>
          <w:rFonts w:ascii="Arial" w:hAnsi="Arial" w:cs="Arial"/>
          <w:i/>
          <w:iCs/>
          <w:sz w:val="24"/>
          <w:szCs w:val="24"/>
        </w:rPr>
        <w:t xml:space="preserve"> a los sujetos pasivos que hayan obtenido del Servicio municipal competente la correspondiente llave, tarjeta electrónica o cualquier otro dispositivo de acceso al contenedor de materia orgánica, sin tener en cuenta el número de ocasiones</w:t>
      </w:r>
      <w:r w:rsidR="00367634">
        <w:rPr>
          <w:rFonts w:ascii="Arial" w:hAnsi="Arial" w:cs="Arial"/>
          <w:i/>
          <w:iCs/>
          <w:sz w:val="24"/>
          <w:szCs w:val="24"/>
        </w:rPr>
        <w:t xml:space="preserve"> en</w:t>
      </w:r>
      <w:r w:rsidRPr="00775E83">
        <w:rPr>
          <w:rFonts w:ascii="Arial" w:hAnsi="Arial" w:cs="Arial"/>
          <w:i/>
          <w:iCs/>
          <w:sz w:val="24"/>
          <w:szCs w:val="24"/>
        </w:rPr>
        <w:t xml:space="preserve"> que se haya hecho uso del mismo.”</w:t>
      </w:r>
    </w:p>
    <w:p w14:paraId="6F771D95" w14:textId="74E0B0E5" w:rsidR="00CF7BCA" w:rsidRDefault="00775E83" w:rsidP="008F3CCA">
      <w:pPr>
        <w:spacing w:before="100" w:beforeAutospacing="1" w:after="100" w:afterAutospacing="1" w:line="360" w:lineRule="auto"/>
        <w:jc w:val="both"/>
        <w:rPr>
          <w:rFonts w:ascii="Arial" w:hAnsi="Arial" w:cs="Arial"/>
          <w:sz w:val="24"/>
          <w:szCs w:val="24"/>
        </w:rPr>
      </w:pPr>
      <w:proofErr w:type="gramStart"/>
      <w:r>
        <w:rPr>
          <w:rFonts w:ascii="Arial" w:hAnsi="Arial" w:cs="Arial"/>
          <w:b/>
          <w:bCs/>
          <w:sz w:val="24"/>
          <w:szCs w:val="24"/>
        </w:rPr>
        <w:t>SÉPTIMA.-</w:t>
      </w:r>
      <w:proofErr w:type="gramEnd"/>
      <w:r>
        <w:rPr>
          <w:rFonts w:ascii="Arial" w:hAnsi="Arial" w:cs="Arial"/>
          <w:b/>
          <w:bCs/>
          <w:sz w:val="24"/>
          <w:szCs w:val="24"/>
        </w:rPr>
        <w:t xml:space="preserve"> </w:t>
      </w:r>
      <w:r w:rsidR="00CF7BCA">
        <w:rPr>
          <w:rFonts w:ascii="Arial" w:hAnsi="Arial" w:cs="Arial"/>
          <w:sz w:val="24"/>
          <w:szCs w:val="24"/>
        </w:rPr>
        <w:t>PROYECCIÓN DE LAS ILEGALIDADES ANTERIORES EN LA LIQUIDACIÓN IMPUGNADA.</w:t>
      </w:r>
    </w:p>
    <w:p w14:paraId="6A077710" w14:textId="77777777" w:rsidR="00CF7BCA" w:rsidRPr="00CF7BCA" w:rsidRDefault="00CF7BCA" w:rsidP="00CF7BCA">
      <w:pPr>
        <w:spacing w:before="100" w:beforeAutospacing="1" w:after="100" w:afterAutospacing="1" w:line="360" w:lineRule="auto"/>
        <w:jc w:val="both"/>
        <w:rPr>
          <w:rFonts w:ascii="Arial" w:hAnsi="Arial" w:cs="Arial"/>
          <w:sz w:val="24"/>
          <w:szCs w:val="24"/>
        </w:rPr>
      </w:pPr>
      <w:r w:rsidRPr="00CF7BCA">
        <w:rPr>
          <w:rFonts w:ascii="Arial" w:hAnsi="Arial" w:cs="Arial"/>
          <w:sz w:val="24"/>
          <w:szCs w:val="24"/>
        </w:rPr>
        <w:t>Las ilegalidades recogidas en los apartados anteriores determinan la ilegalidad de la ordenanza fiscal, lo que conlleva la ilegalidad de los actos dictados en aplicación de la misma, como la liquidación impugnada en la presente reclamación.</w:t>
      </w:r>
    </w:p>
    <w:p w14:paraId="3B6F8F1C" w14:textId="77777777" w:rsidR="00CF7BCA" w:rsidRPr="00CF7BCA" w:rsidRDefault="00CF7BCA" w:rsidP="00CF7BCA">
      <w:pPr>
        <w:spacing w:before="100" w:beforeAutospacing="1" w:after="100" w:afterAutospacing="1" w:line="360" w:lineRule="auto"/>
        <w:jc w:val="both"/>
        <w:rPr>
          <w:rFonts w:ascii="Arial" w:hAnsi="Arial" w:cs="Arial"/>
          <w:sz w:val="24"/>
          <w:szCs w:val="24"/>
        </w:rPr>
      </w:pPr>
      <w:r w:rsidRPr="00CF7BCA">
        <w:rPr>
          <w:rFonts w:ascii="Arial" w:hAnsi="Arial" w:cs="Arial"/>
          <w:sz w:val="24"/>
          <w:szCs w:val="24"/>
        </w:rPr>
        <w:t>Además, debemos destacar expresamente que las irregularidades de las reglas de cuantificación de la tasa expuestas en las alegaciones anteriores conllevan la ilegalidad de la liquidación impugnada porque, al configurarse la tasa de residuos como un tributo de cupo o reparto, las cuotas incorrectamente cuantificadas para algunos contribuyentes determinan una disminución de ingresos que conlleva necesariamente un incremento de las cuotas del resto de contribuyentes. Por ello, la incorrecta cuantificación de las liquidaciones de un grupo de contribuyentes determina la ilegalidad de todas las liquidaciones, porque la Ley 7/2022 exige que la tasa no sea deficitaria y por ello se ha distribuido el coste total de prestación del servicio entre todos los contribuyentes.</w:t>
      </w:r>
    </w:p>
    <w:p w14:paraId="41D1E709" w14:textId="77777777" w:rsidR="00CF7BCA" w:rsidRPr="00CF7BCA" w:rsidRDefault="00CF7BCA" w:rsidP="00CF7BCA">
      <w:pPr>
        <w:spacing w:before="100" w:beforeAutospacing="1" w:after="100" w:afterAutospacing="1" w:line="360" w:lineRule="auto"/>
        <w:jc w:val="both"/>
        <w:rPr>
          <w:rFonts w:ascii="Arial" w:hAnsi="Arial" w:cs="Arial"/>
          <w:sz w:val="24"/>
          <w:szCs w:val="24"/>
        </w:rPr>
      </w:pPr>
      <w:r w:rsidRPr="00CF7BCA">
        <w:rPr>
          <w:rFonts w:ascii="Arial" w:hAnsi="Arial" w:cs="Arial"/>
          <w:sz w:val="24"/>
          <w:szCs w:val="24"/>
        </w:rPr>
        <w:t>De todo lo anterior se concluye que la liquidación impugnada, así como la disposición general que la sustenta, son claramente ilegales.</w:t>
      </w:r>
    </w:p>
    <w:p w14:paraId="2C991126" w14:textId="77777777" w:rsidR="00CF7BCA" w:rsidRPr="00CF7BCA" w:rsidRDefault="00CF7BCA" w:rsidP="00CF7BCA">
      <w:pPr>
        <w:spacing w:before="100" w:beforeAutospacing="1" w:after="100" w:afterAutospacing="1" w:line="360" w:lineRule="auto"/>
        <w:jc w:val="both"/>
        <w:rPr>
          <w:rFonts w:ascii="Arial" w:hAnsi="Arial" w:cs="Arial"/>
          <w:sz w:val="24"/>
          <w:szCs w:val="24"/>
        </w:rPr>
      </w:pPr>
      <w:r w:rsidRPr="00CF7BCA">
        <w:rPr>
          <w:rFonts w:ascii="Arial" w:hAnsi="Arial" w:cs="Arial"/>
          <w:sz w:val="24"/>
          <w:szCs w:val="24"/>
        </w:rPr>
        <w:lastRenderedPageBreak/>
        <w:t>Por todo lo expuesto,</w:t>
      </w:r>
    </w:p>
    <w:p w14:paraId="3B327F12" w14:textId="47CCE24F" w:rsidR="00CF7BCA" w:rsidRDefault="00CF7BCA" w:rsidP="00CF7BCA">
      <w:pPr>
        <w:spacing w:before="100" w:beforeAutospacing="1" w:after="100" w:afterAutospacing="1" w:line="360" w:lineRule="auto"/>
        <w:jc w:val="both"/>
        <w:rPr>
          <w:rFonts w:ascii="Arial" w:hAnsi="Arial" w:cs="Arial"/>
          <w:b/>
          <w:bCs/>
          <w:sz w:val="24"/>
          <w:szCs w:val="24"/>
        </w:rPr>
      </w:pPr>
      <w:r w:rsidRPr="003A67E9">
        <w:rPr>
          <w:rFonts w:ascii="Arial" w:hAnsi="Arial" w:cs="Arial"/>
          <w:b/>
          <w:bCs/>
          <w:sz w:val="24"/>
          <w:szCs w:val="24"/>
        </w:rPr>
        <w:t xml:space="preserve">SOLICITO AL </w:t>
      </w:r>
      <w:r w:rsidR="00991ABC">
        <w:rPr>
          <w:rFonts w:ascii="Arial" w:hAnsi="Arial" w:cs="Arial"/>
          <w:b/>
          <w:bCs/>
          <w:sz w:val="24"/>
          <w:szCs w:val="24"/>
        </w:rPr>
        <w:t>ÓRGANO COMPETENTE PARA LA RESOLUCIÓN DEL RECURSO POTESTATIVO</w:t>
      </w:r>
      <w:r w:rsidRPr="003A67E9">
        <w:rPr>
          <w:rFonts w:ascii="Arial" w:hAnsi="Arial" w:cs="Arial"/>
          <w:b/>
          <w:bCs/>
          <w:sz w:val="24"/>
          <w:szCs w:val="24"/>
        </w:rPr>
        <w:t xml:space="preserve"> que dicte resolución estimando </w:t>
      </w:r>
      <w:r w:rsidR="00367634">
        <w:rPr>
          <w:rFonts w:ascii="Arial" w:hAnsi="Arial" w:cs="Arial"/>
          <w:b/>
          <w:bCs/>
          <w:sz w:val="24"/>
          <w:szCs w:val="24"/>
        </w:rPr>
        <w:t>el</w:t>
      </w:r>
      <w:r w:rsidRPr="003A67E9">
        <w:rPr>
          <w:rFonts w:ascii="Arial" w:hAnsi="Arial" w:cs="Arial"/>
          <w:b/>
          <w:bCs/>
          <w:sz w:val="24"/>
          <w:szCs w:val="24"/>
        </w:rPr>
        <w:t xml:space="preserve"> presente </w:t>
      </w:r>
      <w:r w:rsidR="00367634">
        <w:rPr>
          <w:rFonts w:ascii="Arial" w:hAnsi="Arial" w:cs="Arial"/>
          <w:b/>
          <w:bCs/>
          <w:sz w:val="24"/>
          <w:szCs w:val="24"/>
        </w:rPr>
        <w:t>recurso</w:t>
      </w:r>
      <w:r w:rsidR="00022135">
        <w:rPr>
          <w:rFonts w:ascii="Arial" w:hAnsi="Arial" w:cs="Arial"/>
          <w:b/>
          <w:bCs/>
          <w:sz w:val="24"/>
          <w:szCs w:val="24"/>
        </w:rPr>
        <w:t xml:space="preserve"> Y</w:t>
      </w:r>
      <w:r w:rsidRPr="003A67E9">
        <w:rPr>
          <w:rFonts w:ascii="Arial" w:hAnsi="Arial" w:cs="Arial"/>
          <w:b/>
          <w:bCs/>
          <w:sz w:val="24"/>
          <w:szCs w:val="24"/>
        </w:rPr>
        <w:t xml:space="preserve">, ordenando la anulación del </w:t>
      </w:r>
      <w:r w:rsidR="00367634">
        <w:rPr>
          <w:rFonts w:ascii="Arial" w:hAnsi="Arial" w:cs="Arial"/>
          <w:b/>
          <w:bCs/>
          <w:sz w:val="24"/>
          <w:szCs w:val="24"/>
        </w:rPr>
        <w:t>acto</w:t>
      </w:r>
      <w:r w:rsidRPr="003A67E9">
        <w:rPr>
          <w:rFonts w:ascii="Arial" w:hAnsi="Arial" w:cs="Arial"/>
          <w:b/>
          <w:bCs/>
          <w:sz w:val="24"/>
          <w:szCs w:val="24"/>
        </w:rPr>
        <w:t xml:space="preserve"> impugnado, así como el reembolso de las cantidades satisfechas en pago de la liquidaci</w:t>
      </w:r>
      <w:r w:rsidR="00367634">
        <w:rPr>
          <w:rFonts w:ascii="Arial" w:hAnsi="Arial" w:cs="Arial"/>
          <w:b/>
          <w:bCs/>
          <w:sz w:val="24"/>
          <w:szCs w:val="24"/>
        </w:rPr>
        <w:t>ón</w:t>
      </w:r>
      <w:r w:rsidRPr="003A67E9">
        <w:rPr>
          <w:rFonts w:ascii="Arial" w:hAnsi="Arial" w:cs="Arial"/>
          <w:b/>
          <w:bCs/>
          <w:sz w:val="24"/>
          <w:szCs w:val="24"/>
        </w:rPr>
        <w:t xml:space="preserve"> impugnada con los correspondientes intereses devengados desde el momento de su ingreso.</w:t>
      </w:r>
    </w:p>
    <w:p w14:paraId="74F4C718" w14:textId="5E95248F" w:rsidR="00991ABC" w:rsidRPr="003A67E9" w:rsidRDefault="00CE0BE2" w:rsidP="00CE0BE2">
      <w:pPr>
        <w:spacing w:before="100" w:beforeAutospacing="1" w:after="100" w:afterAutospacing="1" w:line="360" w:lineRule="auto"/>
        <w:jc w:val="both"/>
        <w:rPr>
          <w:rFonts w:ascii="Arial" w:hAnsi="Arial" w:cs="Arial"/>
          <w:b/>
          <w:bCs/>
          <w:sz w:val="24"/>
          <w:szCs w:val="24"/>
        </w:rPr>
      </w:pPr>
      <w:r w:rsidRPr="00CE0BE2">
        <w:rPr>
          <w:rFonts w:ascii="Arial" w:hAnsi="Arial" w:cs="Arial"/>
          <w:b/>
          <w:bCs/>
          <w:sz w:val="24"/>
          <w:szCs w:val="24"/>
        </w:rPr>
        <w:t xml:space="preserve">OTROSÍ SOLICITO, </w:t>
      </w:r>
      <w:proofErr w:type="gramStart"/>
      <w:r w:rsidRPr="00CE0BE2">
        <w:rPr>
          <w:rFonts w:ascii="Arial" w:hAnsi="Arial" w:cs="Arial"/>
          <w:b/>
          <w:bCs/>
          <w:sz w:val="24"/>
          <w:szCs w:val="24"/>
        </w:rPr>
        <w:t>que</w:t>
      </w:r>
      <w:proofErr w:type="gramEnd"/>
      <w:r w:rsidRPr="00CE0BE2">
        <w:rPr>
          <w:rFonts w:ascii="Arial" w:hAnsi="Arial" w:cs="Arial"/>
          <w:b/>
          <w:bCs/>
          <w:sz w:val="24"/>
          <w:szCs w:val="24"/>
        </w:rPr>
        <w:t xml:space="preserve"> </w:t>
      </w:r>
      <w:r>
        <w:rPr>
          <w:rFonts w:ascii="Arial" w:hAnsi="Arial" w:cs="Arial"/>
          <w:b/>
          <w:bCs/>
          <w:sz w:val="24"/>
          <w:szCs w:val="24"/>
        </w:rPr>
        <w:t>en caso de desestimación, formal o presunta</w:t>
      </w:r>
      <w:r w:rsidRPr="00CE0BE2">
        <w:rPr>
          <w:rFonts w:ascii="Arial" w:hAnsi="Arial" w:cs="Arial"/>
          <w:b/>
          <w:bCs/>
          <w:sz w:val="24"/>
          <w:szCs w:val="24"/>
        </w:rPr>
        <w:t xml:space="preserve">, </w:t>
      </w:r>
      <w:r>
        <w:rPr>
          <w:rFonts w:ascii="Arial" w:hAnsi="Arial" w:cs="Arial"/>
          <w:b/>
          <w:bCs/>
          <w:sz w:val="24"/>
          <w:szCs w:val="24"/>
        </w:rPr>
        <w:t xml:space="preserve">del recurso potestativo por el </w:t>
      </w:r>
      <w:r w:rsidRPr="00CE0BE2">
        <w:rPr>
          <w:rFonts w:ascii="Arial" w:hAnsi="Arial" w:cs="Arial"/>
          <w:b/>
          <w:bCs/>
          <w:sz w:val="24"/>
          <w:szCs w:val="24"/>
        </w:rPr>
        <w:t>órgano</w:t>
      </w:r>
      <w:r>
        <w:rPr>
          <w:rFonts w:ascii="Arial" w:hAnsi="Arial" w:cs="Arial"/>
          <w:b/>
          <w:bCs/>
          <w:sz w:val="24"/>
          <w:szCs w:val="24"/>
        </w:rPr>
        <w:t xml:space="preserve"> </w:t>
      </w:r>
      <w:r w:rsidRPr="00CE0BE2">
        <w:rPr>
          <w:rFonts w:ascii="Arial" w:hAnsi="Arial" w:cs="Arial"/>
          <w:b/>
          <w:bCs/>
          <w:sz w:val="24"/>
          <w:szCs w:val="24"/>
        </w:rPr>
        <w:t xml:space="preserve">administrativo que se estime </w:t>
      </w:r>
      <w:r>
        <w:rPr>
          <w:rFonts w:ascii="Arial" w:hAnsi="Arial" w:cs="Arial"/>
          <w:b/>
          <w:bCs/>
          <w:sz w:val="24"/>
          <w:szCs w:val="24"/>
        </w:rPr>
        <w:t>competente</w:t>
      </w:r>
      <w:r w:rsidRPr="00CE0BE2">
        <w:rPr>
          <w:rFonts w:ascii="Arial" w:hAnsi="Arial" w:cs="Arial"/>
          <w:b/>
          <w:bCs/>
          <w:sz w:val="24"/>
          <w:szCs w:val="24"/>
        </w:rPr>
        <w:t xml:space="preserve"> para la resolución de </w:t>
      </w:r>
      <w:r>
        <w:rPr>
          <w:rFonts w:ascii="Arial" w:hAnsi="Arial" w:cs="Arial"/>
          <w:b/>
          <w:bCs/>
          <w:sz w:val="24"/>
          <w:szCs w:val="24"/>
        </w:rPr>
        <w:t>este</w:t>
      </w:r>
      <w:r w:rsidRPr="00CE0BE2">
        <w:rPr>
          <w:rFonts w:ascii="Arial" w:hAnsi="Arial" w:cs="Arial"/>
          <w:b/>
          <w:bCs/>
          <w:sz w:val="24"/>
          <w:szCs w:val="24"/>
        </w:rPr>
        <w:t xml:space="preserve"> asunto</w:t>
      </w:r>
      <w:r>
        <w:rPr>
          <w:rFonts w:ascii="Arial" w:hAnsi="Arial" w:cs="Arial"/>
          <w:b/>
          <w:bCs/>
          <w:sz w:val="24"/>
          <w:szCs w:val="24"/>
        </w:rPr>
        <w:t xml:space="preserve">, SE REMITA </w:t>
      </w:r>
      <w:r w:rsidRPr="00CE0BE2">
        <w:rPr>
          <w:rFonts w:ascii="Arial" w:hAnsi="Arial" w:cs="Arial"/>
          <w:b/>
          <w:bCs/>
          <w:sz w:val="24"/>
          <w:szCs w:val="24"/>
        </w:rPr>
        <w:t xml:space="preserve">directamente </w:t>
      </w:r>
      <w:r>
        <w:rPr>
          <w:rFonts w:ascii="Arial" w:hAnsi="Arial" w:cs="Arial"/>
          <w:b/>
          <w:bCs/>
          <w:sz w:val="24"/>
          <w:szCs w:val="24"/>
        </w:rPr>
        <w:t xml:space="preserve">este escrito </w:t>
      </w:r>
      <w:r w:rsidRPr="00CE0BE2">
        <w:rPr>
          <w:rFonts w:ascii="Arial" w:hAnsi="Arial" w:cs="Arial"/>
          <w:b/>
          <w:bCs/>
          <w:sz w:val="24"/>
          <w:szCs w:val="24"/>
        </w:rPr>
        <w:t>AL TRIBUNAL ECONÓMICO-ADMINISTRATIVO MUNICIPAL DE SANTA CRUZ DE TENERIFE</w:t>
      </w:r>
      <w:r>
        <w:rPr>
          <w:rFonts w:ascii="Arial" w:hAnsi="Arial" w:cs="Arial"/>
          <w:b/>
          <w:bCs/>
          <w:sz w:val="24"/>
          <w:szCs w:val="24"/>
        </w:rPr>
        <w:t xml:space="preserve"> en forma de la oportuna RECLAMACIÓN </w:t>
      </w:r>
      <w:r w:rsidRPr="00CE0BE2">
        <w:rPr>
          <w:rFonts w:ascii="Arial" w:hAnsi="Arial" w:cs="Arial"/>
          <w:b/>
          <w:bCs/>
          <w:sz w:val="24"/>
          <w:szCs w:val="24"/>
        </w:rPr>
        <w:t>ECONÓMICO</w:t>
      </w:r>
      <w:r w:rsidR="00367634">
        <w:rPr>
          <w:rFonts w:ascii="Arial" w:hAnsi="Arial" w:cs="Arial"/>
          <w:b/>
          <w:bCs/>
          <w:sz w:val="24"/>
          <w:szCs w:val="24"/>
        </w:rPr>
        <w:t>-</w:t>
      </w:r>
      <w:r w:rsidRPr="00CE0BE2">
        <w:rPr>
          <w:rFonts w:ascii="Arial" w:hAnsi="Arial" w:cs="Arial"/>
          <w:b/>
          <w:bCs/>
          <w:sz w:val="24"/>
          <w:szCs w:val="24"/>
        </w:rPr>
        <w:t>ADMINISTRATIVA</w:t>
      </w:r>
      <w:r>
        <w:rPr>
          <w:rFonts w:ascii="Arial" w:hAnsi="Arial" w:cs="Arial"/>
          <w:b/>
          <w:bCs/>
          <w:sz w:val="24"/>
          <w:szCs w:val="24"/>
        </w:rPr>
        <w:t xml:space="preserve"> contra la liquidación </w:t>
      </w:r>
      <w:r w:rsidRPr="00CE0BE2">
        <w:rPr>
          <w:rFonts w:ascii="Arial" w:hAnsi="Arial" w:cs="Arial"/>
          <w:b/>
          <w:bCs/>
          <w:sz w:val="24"/>
          <w:szCs w:val="24"/>
        </w:rPr>
        <w:t>DE LA TASA POR PRESTACIÓN DEL SERVICIO DE GESTIÓN DE RESID</w:t>
      </w:r>
      <w:r w:rsidR="00EC7B17">
        <w:rPr>
          <w:rFonts w:ascii="Arial" w:hAnsi="Arial" w:cs="Arial"/>
          <w:b/>
          <w:bCs/>
          <w:sz w:val="24"/>
          <w:szCs w:val="24"/>
        </w:rPr>
        <w:t>U</w:t>
      </w:r>
      <w:r w:rsidRPr="00CE0BE2">
        <w:rPr>
          <w:rFonts w:ascii="Arial" w:hAnsi="Arial" w:cs="Arial"/>
          <w:b/>
          <w:bCs/>
          <w:sz w:val="24"/>
          <w:szCs w:val="24"/>
        </w:rPr>
        <w:t>OS</w:t>
      </w:r>
    </w:p>
    <w:p w14:paraId="7EDBF34E" w14:textId="77777777" w:rsidR="00CA6E68" w:rsidRDefault="00CA6E68" w:rsidP="008F3CCA">
      <w:pPr>
        <w:spacing w:before="100" w:beforeAutospacing="1" w:after="100" w:afterAutospacing="1" w:line="360" w:lineRule="auto"/>
        <w:jc w:val="both"/>
        <w:rPr>
          <w:rFonts w:ascii="Arial" w:hAnsi="Arial" w:cs="Arial"/>
          <w:sz w:val="24"/>
          <w:szCs w:val="24"/>
        </w:rPr>
      </w:pPr>
    </w:p>
    <w:p w14:paraId="4725D585" w14:textId="5631B7DA" w:rsidR="003002FC" w:rsidRDefault="003002FC" w:rsidP="008F3CCA">
      <w:pPr>
        <w:spacing w:before="100" w:beforeAutospacing="1" w:after="100" w:afterAutospacing="1" w:line="360" w:lineRule="auto"/>
        <w:jc w:val="both"/>
        <w:rPr>
          <w:rFonts w:ascii="Arial" w:hAnsi="Arial" w:cs="Arial"/>
          <w:sz w:val="24"/>
          <w:szCs w:val="24"/>
        </w:rPr>
      </w:pPr>
      <w:r>
        <w:rPr>
          <w:rFonts w:ascii="Arial" w:hAnsi="Arial" w:cs="Arial"/>
          <w:sz w:val="24"/>
          <w:szCs w:val="24"/>
        </w:rPr>
        <w:t xml:space="preserve">En Santa Cruz </w:t>
      </w:r>
      <w:r w:rsidR="00367634">
        <w:rPr>
          <w:rFonts w:ascii="Arial" w:hAnsi="Arial" w:cs="Arial"/>
          <w:sz w:val="24"/>
          <w:szCs w:val="24"/>
        </w:rPr>
        <w:t>de</w:t>
      </w:r>
      <w:r>
        <w:rPr>
          <w:rFonts w:ascii="Arial" w:hAnsi="Arial" w:cs="Arial"/>
          <w:sz w:val="24"/>
          <w:szCs w:val="24"/>
        </w:rPr>
        <w:t xml:space="preserve"> Tenerife, </w:t>
      </w:r>
      <w:r w:rsidR="00CA6E68">
        <w:rPr>
          <w:rFonts w:ascii="Arial" w:hAnsi="Arial" w:cs="Arial"/>
          <w:sz w:val="24"/>
          <w:szCs w:val="24"/>
        </w:rPr>
        <w:t>a ……… de ………………… de 2026</w:t>
      </w:r>
    </w:p>
    <w:p w14:paraId="4532C81B" w14:textId="77777777" w:rsidR="00CA6E68" w:rsidRDefault="00CA6E68" w:rsidP="008F3CCA">
      <w:pPr>
        <w:spacing w:before="100" w:beforeAutospacing="1" w:after="100" w:afterAutospacing="1" w:line="360" w:lineRule="auto"/>
        <w:jc w:val="both"/>
        <w:rPr>
          <w:rFonts w:ascii="Arial" w:hAnsi="Arial" w:cs="Arial"/>
          <w:sz w:val="24"/>
          <w:szCs w:val="24"/>
        </w:rPr>
      </w:pPr>
    </w:p>
    <w:p w14:paraId="14399374" w14:textId="26988BAA" w:rsidR="00CA6E68" w:rsidRPr="00190C3D" w:rsidRDefault="00CA6E68" w:rsidP="008F3CCA">
      <w:pPr>
        <w:spacing w:before="100" w:beforeAutospacing="1" w:after="100" w:afterAutospacing="1" w:line="360" w:lineRule="auto"/>
        <w:jc w:val="both"/>
        <w:rPr>
          <w:rFonts w:ascii="Arial" w:hAnsi="Arial" w:cs="Arial"/>
          <w:sz w:val="24"/>
          <w:szCs w:val="24"/>
        </w:rPr>
      </w:pPr>
      <w:r>
        <w:rPr>
          <w:rFonts w:ascii="Arial" w:hAnsi="Arial" w:cs="Arial"/>
          <w:sz w:val="24"/>
          <w:szCs w:val="24"/>
        </w:rPr>
        <w:t>Fdo.: D/Dª……………………………………………</w:t>
      </w:r>
      <w:proofErr w:type="gramStart"/>
      <w:r>
        <w:rPr>
          <w:rFonts w:ascii="Arial" w:hAnsi="Arial" w:cs="Arial"/>
          <w:sz w:val="24"/>
          <w:szCs w:val="24"/>
        </w:rPr>
        <w:t>…….</w:t>
      </w:r>
      <w:proofErr w:type="gramEnd"/>
      <w:r>
        <w:rPr>
          <w:rFonts w:ascii="Arial" w:hAnsi="Arial" w:cs="Arial"/>
          <w:sz w:val="24"/>
          <w:szCs w:val="24"/>
        </w:rPr>
        <w:t>.</w:t>
      </w:r>
    </w:p>
    <w:sectPr w:rsidR="00CA6E68" w:rsidRPr="00190C3D" w:rsidSect="00417EA7">
      <w:foot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2A34D2" w14:textId="77777777" w:rsidR="009C6FC4" w:rsidRDefault="009C6FC4" w:rsidP="005D2251">
      <w:pPr>
        <w:spacing w:after="0" w:line="240" w:lineRule="auto"/>
      </w:pPr>
      <w:r>
        <w:separator/>
      </w:r>
    </w:p>
  </w:endnote>
  <w:endnote w:type="continuationSeparator" w:id="0">
    <w:p w14:paraId="1D20D5B5" w14:textId="77777777" w:rsidR="009C6FC4" w:rsidRDefault="009C6FC4" w:rsidP="005D2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Aptos">
    <w:altName w:val="Calibri"/>
    <w:panose1 w:val="020B06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altName w:val="Calibri"/>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3164979"/>
      <w:docPartObj>
        <w:docPartGallery w:val="Page Numbers (Bottom of Page)"/>
        <w:docPartUnique/>
      </w:docPartObj>
    </w:sdtPr>
    <w:sdtEndPr/>
    <w:sdtContent>
      <w:p w14:paraId="767BC99F" w14:textId="219B4EC5" w:rsidR="005D2251" w:rsidRDefault="005D2251">
        <w:pPr>
          <w:pStyle w:val="Piedepgina"/>
          <w:jc w:val="right"/>
        </w:pPr>
        <w:r>
          <w:fldChar w:fldCharType="begin"/>
        </w:r>
        <w:r>
          <w:instrText>PAGE   \* MERGEFORMAT</w:instrText>
        </w:r>
        <w:r>
          <w:fldChar w:fldCharType="separate"/>
        </w:r>
        <w:r>
          <w:t>2</w:t>
        </w:r>
        <w:r>
          <w:fldChar w:fldCharType="end"/>
        </w:r>
      </w:p>
    </w:sdtContent>
  </w:sdt>
  <w:p w14:paraId="0A3C56CC" w14:textId="77777777" w:rsidR="005D2251" w:rsidRDefault="005D225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CA67E7" w14:textId="77777777" w:rsidR="009C6FC4" w:rsidRDefault="009C6FC4" w:rsidP="005D2251">
      <w:pPr>
        <w:spacing w:after="0" w:line="240" w:lineRule="auto"/>
      </w:pPr>
      <w:r>
        <w:separator/>
      </w:r>
    </w:p>
  </w:footnote>
  <w:footnote w:type="continuationSeparator" w:id="0">
    <w:p w14:paraId="30E37962" w14:textId="77777777" w:rsidR="009C6FC4" w:rsidRDefault="009C6FC4" w:rsidP="005D2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580F6C"/>
    <w:multiLevelType w:val="hybridMultilevel"/>
    <w:tmpl w:val="0DC6A8E8"/>
    <w:lvl w:ilvl="0" w:tplc="6A34E860">
      <w:numFmt w:val="bullet"/>
      <w:lvlText w:val="-"/>
      <w:lvlJc w:val="left"/>
      <w:pPr>
        <w:ind w:left="720" w:hanging="360"/>
      </w:pPr>
      <w:rPr>
        <w:rFonts w:ascii="Arial" w:eastAsiaTheme="minorHAns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467"/>
    <w:rsid w:val="0001019D"/>
    <w:rsid w:val="00010DF0"/>
    <w:rsid w:val="00017E87"/>
    <w:rsid w:val="00022135"/>
    <w:rsid w:val="00023E25"/>
    <w:rsid w:val="000B166F"/>
    <w:rsid w:val="000C68B1"/>
    <w:rsid w:val="000E5331"/>
    <w:rsid w:val="000E5471"/>
    <w:rsid w:val="001369F6"/>
    <w:rsid w:val="00155739"/>
    <w:rsid w:val="0017223C"/>
    <w:rsid w:val="00190C3D"/>
    <w:rsid w:val="001C7AA1"/>
    <w:rsid w:val="00232467"/>
    <w:rsid w:val="0023564C"/>
    <w:rsid w:val="00256B24"/>
    <w:rsid w:val="002849A7"/>
    <w:rsid w:val="002B6EAF"/>
    <w:rsid w:val="002C29DE"/>
    <w:rsid w:val="002C4B9F"/>
    <w:rsid w:val="003002FC"/>
    <w:rsid w:val="00345890"/>
    <w:rsid w:val="00367634"/>
    <w:rsid w:val="003A1915"/>
    <w:rsid w:val="003A67E9"/>
    <w:rsid w:val="003C5E57"/>
    <w:rsid w:val="00405D4C"/>
    <w:rsid w:val="00417EA7"/>
    <w:rsid w:val="004441D5"/>
    <w:rsid w:val="0048087B"/>
    <w:rsid w:val="00570A88"/>
    <w:rsid w:val="00583F4A"/>
    <w:rsid w:val="005D2251"/>
    <w:rsid w:val="005F6933"/>
    <w:rsid w:val="00603E47"/>
    <w:rsid w:val="00692861"/>
    <w:rsid w:val="006932DC"/>
    <w:rsid w:val="00726CBB"/>
    <w:rsid w:val="00775E83"/>
    <w:rsid w:val="00792C3E"/>
    <w:rsid w:val="00794299"/>
    <w:rsid w:val="007A2F8F"/>
    <w:rsid w:val="007D0D3F"/>
    <w:rsid w:val="00832D88"/>
    <w:rsid w:val="0084305D"/>
    <w:rsid w:val="00860D48"/>
    <w:rsid w:val="008708AC"/>
    <w:rsid w:val="008C4A1D"/>
    <w:rsid w:val="008F3CCA"/>
    <w:rsid w:val="00904E40"/>
    <w:rsid w:val="00907133"/>
    <w:rsid w:val="00931899"/>
    <w:rsid w:val="00973527"/>
    <w:rsid w:val="00991ABC"/>
    <w:rsid w:val="009B50B0"/>
    <w:rsid w:val="009C6FC4"/>
    <w:rsid w:val="009E26BC"/>
    <w:rsid w:val="00A97203"/>
    <w:rsid w:val="00AA2623"/>
    <w:rsid w:val="00AB33D2"/>
    <w:rsid w:val="00B34777"/>
    <w:rsid w:val="00C203A7"/>
    <w:rsid w:val="00C27FB2"/>
    <w:rsid w:val="00CA6E68"/>
    <w:rsid w:val="00CB4B5B"/>
    <w:rsid w:val="00CE0BE2"/>
    <w:rsid w:val="00CF7BCA"/>
    <w:rsid w:val="00D345D3"/>
    <w:rsid w:val="00D50713"/>
    <w:rsid w:val="00D743A2"/>
    <w:rsid w:val="00D97C75"/>
    <w:rsid w:val="00DD4F3F"/>
    <w:rsid w:val="00E626BC"/>
    <w:rsid w:val="00EC7B17"/>
    <w:rsid w:val="00F0738A"/>
    <w:rsid w:val="00F5670E"/>
    <w:rsid w:val="00FB27A3"/>
    <w:rsid w:val="00FB7A9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BBE23"/>
  <w15:chartTrackingRefBased/>
  <w15:docId w15:val="{67869FD1-8924-45AE-8D12-282844F21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3246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semiHidden/>
    <w:unhideWhenUsed/>
    <w:qFormat/>
    <w:rsid w:val="0023246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232467"/>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232467"/>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
    <w:semiHidden/>
    <w:unhideWhenUsed/>
    <w:qFormat/>
    <w:rsid w:val="00232467"/>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
    <w:semiHidden/>
    <w:unhideWhenUsed/>
    <w:qFormat/>
    <w:rsid w:val="0023246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3246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3246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3246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32467"/>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
    <w:semiHidden/>
    <w:rsid w:val="00232467"/>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232467"/>
    <w:rPr>
      <w:rFonts w:eastAsiaTheme="majorEastAsia" w:cstheme="majorBidi"/>
      <w:color w:val="2E74B5" w:themeColor="accent1" w:themeShade="BF"/>
      <w:sz w:val="28"/>
      <w:szCs w:val="28"/>
    </w:rPr>
  </w:style>
  <w:style w:type="character" w:customStyle="1" w:styleId="Ttulo4Car">
    <w:name w:val="Título 4 Car"/>
    <w:basedOn w:val="Fuentedeprrafopredeter"/>
    <w:link w:val="Ttulo4"/>
    <w:uiPriority w:val="9"/>
    <w:semiHidden/>
    <w:rsid w:val="00232467"/>
    <w:rPr>
      <w:rFonts w:eastAsiaTheme="majorEastAsia" w:cstheme="majorBidi"/>
      <w:i/>
      <w:iCs/>
      <w:color w:val="2E74B5" w:themeColor="accent1" w:themeShade="BF"/>
    </w:rPr>
  </w:style>
  <w:style w:type="character" w:customStyle="1" w:styleId="Ttulo5Car">
    <w:name w:val="Título 5 Car"/>
    <w:basedOn w:val="Fuentedeprrafopredeter"/>
    <w:link w:val="Ttulo5"/>
    <w:uiPriority w:val="9"/>
    <w:semiHidden/>
    <w:rsid w:val="00232467"/>
    <w:rPr>
      <w:rFonts w:eastAsiaTheme="majorEastAsia" w:cstheme="majorBidi"/>
      <w:color w:val="2E74B5" w:themeColor="accent1" w:themeShade="BF"/>
    </w:rPr>
  </w:style>
  <w:style w:type="character" w:customStyle="1" w:styleId="Ttulo6Car">
    <w:name w:val="Título 6 Car"/>
    <w:basedOn w:val="Fuentedeprrafopredeter"/>
    <w:link w:val="Ttulo6"/>
    <w:uiPriority w:val="9"/>
    <w:semiHidden/>
    <w:rsid w:val="0023246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3246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3246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32467"/>
    <w:rPr>
      <w:rFonts w:eastAsiaTheme="majorEastAsia" w:cstheme="majorBidi"/>
      <w:color w:val="272727" w:themeColor="text1" w:themeTint="D8"/>
    </w:rPr>
  </w:style>
  <w:style w:type="paragraph" w:styleId="Ttulo">
    <w:name w:val="Title"/>
    <w:basedOn w:val="Normal"/>
    <w:next w:val="Normal"/>
    <w:link w:val="TtuloCar"/>
    <w:uiPriority w:val="10"/>
    <w:qFormat/>
    <w:rsid w:val="002324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3246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3246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3246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32467"/>
    <w:pPr>
      <w:spacing w:before="160"/>
      <w:jc w:val="center"/>
    </w:pPr>
    <w:rPr>
      <w:i/>
      <w:iCs/>
      <w:color w:val="404040" w:themeColor="text1" w:themeTint="BF"/>
    </w:rPr>
  </w:style>
  <w:style w:type="character" w:customStyle="1" w:styleId="CitaCar">
    <w:name w:val="Cita Car"/>
    <w:basedOn w:val="Fuentedeprrafopredeter"/>
    <w:link w:val="Cita"/>
    <w:uiPriority w:val="29"/>
    <w:rsid w:val="00232467"/>
    <w:rPr>
      <w:i/>
      <w:iCs/>
      <w:color w:val="404040" w:themeColor="text1" w:themeTint="BF"/>
    </w:rPr>
  </w:style>
  <w:style w:type="paragraph" w:styleId="Prrafodelista">
    <w:name w:val="List Paragraph"/>
    <w:basedOn w:val="Normal"/>
    <w:uiPriority w:val="34"/>
    <w:qFormat/>
    <w:rsid w:val="00232467"/>
    <w:pPr>
      <w:ind w:left="720"/>
      <w:contextualSpacing/>
    </w:pPr>
  </w:style>
  <w:style w:type="character" w:styleId="nfasisintenso">
    <w:name w:val="Intense Emphasis"/>
    <w:basedOn w:val="Fuentedeprrafopredeter"/>
    <w:uiPriority w:val="21"/>
    <w:qFormat/>
    <w:rsid w:val="00232467"/>
    <w:rPr>
      <w:i/>
      <w:iCs/>
      <w:color w:val="2E74B5" w:themeColor="accent1" w:themeShade="BF"/>
    </w:rPr>
  </w:style>
  <w:style w:type="paragraph" w:styleId="Citadestacada">
    <w:name w:val="Intense Quote"/>
    <w:basedOn w:val="Normal"/>
    <w:next w:val="Normal"/>
    <w:link w:val="CitadestacadaCar"/>
    <w:uiPriority w:val="30"/>
    <w:qFormat/>
    <w:rsid w:val="0023246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232467"/>
    <w:rPr>
      <w:i/>
      <w:iCs/>
      <w:color w:val="2E74B5" w:themeColor="accent1" w:themeShade="BF"/>
    </w:rPr>
  </w:style>
  <w:style w:type="character" w:styleId="Referenciaintensa">
    <w:name w:val="Intense Reference"/>
    <w:basedOn w:val="Fuentedeprrafopredeter"/>
    <w:uiPriority w:val="32"/>
    <w:qFormat/>
    <w:rsid w:val="00232467"/>
    <w:rPr>
      <w:b/>
      <w:bCs/>
      <w:smallCaps/>
      <w:color w:val="2E74B5" w:themeColor="accent1" w:themeShade="BF"/>
      <w:spacing w:val="5"/>
    </w:rPr>
  </w:style>
  <w:style w:type="paragraph" w:styleId="Encabezado">
    <w:name w:val="header"/>
    <w:basedOn w:val="Normal"/>
    <w:link w:val="EncabezadoCar"/>
    <w:uiPriority w:val="99"/>
    <w:unhideWhenUsed/>
    <w:rsid w:val="005D225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D2251"/>
  </w:style>
  <w:style w:type="paragraph" w:styleId="Piedepgina">
    <w:name w:val="footer"/>
    <w:basedOn w:val="Normal"/>
    <w:link w:val="PiedepginaCar"/>
    <w:uiPriority w:val="99"/>
    <w:unhideWhenUsed/>
    <w:rsid w:val="005D225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D22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4EF13-E868-A746-AA34-8A3BED39E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11</Pages>
  <Words>3480</Words>
  <Characters>19145</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11</cp:revision>
  <dcterms:created xsi:type="dcterms:W3CDTF">2026-06-16T10:13:00Z</dcterms:created>
  <dcterms:modified xsi:type="dcterms:W3CDTF">2026-10-02T08:22:00Z</dcterms:modified>
</cp:coreProperties>
</file>